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E0" w:rsidRPr="00BD079F" w:rsidRDefault="002F57A9" w:rsidP="00832BB4">
      <w:pPr>
        <w:pStyle w:val="1"/>
        <w:jc w:val="center"/>
        <w:rPr>
          <w:sz w:val="26"/>
          <w:szCs w:val="26"/>
        </w:rPr>
      </w:pPr>
      <w:r w:rsidRPr="00BD079F">
        <w:rPr>
          <w:sz w:val="26"/>
          <w:szCs w:val="26"/>
        </w:rPr>
        <w:t xml:space="preserve">Пояснительная записка </w:t>
      </w:r>
    </w:p>
    <w:p w:rsidR="00A85282" w:rsidRPr="00BD079F" w:rsidRDefault="002F57A9" w:rsidP="00832BB4">
      <w:pPr>
        <w:jc w:val="center"/>
        <w:rPr>
          <w:b/>
          <w:sz w:val="26"/>
          <w:szCs w:val="26"/>
        </w:rPr>
      </w:pPr>
      <w:r w:rsidRPr="00BD079F">
        <w:rPr>
          <w:b/>
          <w:sz w:val="26"/>
          <w:szCs w:val="26"/>
        </w:rPr>
        <w:t>к п</w:t>
      </w:r>
      <w:r w:rsidR="00863298" w:rsidRPr="00BD079F">
        <w:rPr>
          <w:b/>
          <w:sz w:val="26"/>
          <w:szCs w:val="26"/>
        </w:rPr>
        <w:t>рогноз</w:t>
      </w:r>
      <w:r w:rsidRPr="00BD079F">
        <w:rPr>
          <w:b/>
          <w:sz w:val="26"/>
          <w:szCs w:val="26"/>
        </w:rPr>
        <w:t>у</w:t>
      </w:r>
      <w:r w:rsidR="00863298" w:rsidRPr="00BD079F">
        <w:rPr>
          <w:b/>
          <w:sz w:val="26"/>
          <w:szCs w:val="26"/>
        </w:rPr>
        <w:t xml:space="preserve"> </w:t>
      </w:r>
      <w:r w:rsidR="00A85282" w:rsidRPr="00BD079F">
        <w:rPr>
          <w:b/>
          <w:sz w:val="26"/>
          <w:szCs w:val="26"/>
        </w:rPr>
        <w:t xml:space="preserve">социально-экономического развития Чувашской Республики </w:t>
      </w:r>
    </w:p>
    <w:p w:rsidR="00863298" w:rsidRPr="005F11AA" w:rsidRDefault="00A85282" w:rsidP="00832BB4">
      <w:pPr>
        <w:jc w:val="center"/>
        <w:rPr>
          <w:b/>
        </w:rPr>
      </w:pPr>
      <w:r w:rsidRPr="00BD079F">
        <w:rPr>
          <w:b/>
          <w:sz w:val="26"/>
          <w:szCs w:val="26"/>
        </w:rPr>
        <w:t>на 20</w:t>
      </w:r>
      <w:r w:rsidR="005F11AA" w:rsidRPr="00BD079F">
        <w:rPr>
          <w:b/>
          <w:sz w:val="26"/>
          <w:szCs w:val="26"/>
        </w:rPr>
        <w:t>2</w:t>
      </w:r>
      <w:r w:rsidR="00422F38" w:rsidRPr="00BD079F">
        <w:rPr>
          <w:b/>
          <w:sz w:val="26"/>
          <w:szCs w:val="26"/>
        </w:rPr>
        <w:t>1</w:t>
      </w:r>
      <w:r w:rsidR="00E86AFA" w:rsidRPr="00BD079F">
        <w:rPr>
          <w:b/>
          <w:sz w:val="26"/>
          <w:szCs w:val="26"/>
        </w:rPr>
        <w:t xml:space="preserve"> </w:t>
      </w:r>
      <w:r w:rsidRPr="00BD079F">
        <w:rPr>
          <w:b/>
          <w:sz w:val="26"/>
          <w:szCs w:val="26"/>
        </w:rPr>
        <w:t>год и на плановый период 20</w:t>
      </w:r>
      <w:r w:rsidR="00AD4A11" w:rsidRPr="00BD079F">
        <w:rPr>
          <w:b/>
          <w:sz w:val="26"/>
          <w:szCs w:val="26"/>
        </w:rPr>
        <w:t>2</w:t>
      </w:r>
      <w:r w:rsidR="00422F38" w:rsidRPr="00BD079F">
        <w:rPr>
          <w:b/>
          <w:sz w:val="26"/>
          <w:szCs w:val="26"/>
        </w:rPr>
        <w:t>2</w:t>
      </w:r>
      <w:r w:rsidRPr="00BD079F">
        <w:rPr>
          <w:b/>
          <w:sz w:val="26"/>
          <w:szCs w:val="26"/>
        </w:rPr>
        <w:t xml:space="preserve"> и 20</w:t>
      </w:r>
      <w:r w:rsidR="001C4278" w:rsidRPr="00BD079F">
        <w:rPr>
          <w:b/>
          <w:sz w:val="26"/>
          <w:szCs w:val="26"/>
        </w:rPr>
        <w:t>2</w:t>
      </w:r>
      <w:r w:rsidR="00422F38" w:rsidRPr="00BD079F">
        <w:rPr>
          <w:b/>
          <w:sz w:val="26"/>
          <w:szCs w:val="26"/>
        </w:rPr>
        <w:t>3</w:t>
      </w:r>
      <w:r w:rsidRPr="00BD079F">
        <w:rPr>
          <w:b/>
          <w:sz w:val="26"/>
          <w:szCs w:val="26"/>
        </w:rPr>
        <w:t xml:space="preserve"> годов</w:t>
      </w:r>
      <w:r w:rsidRPr="005F11AA">
        <w:rPr>
          <w:b/>
        </w:rPr>
        <w:t xml:space="preserve"> </w:t>
      </w:r>
    </w:p>
    <w:p w:rsidR="00BF51E0" w:rsidRPr="005F11AA" w:rsidRDefault="00BF51E0" w:rsidP="00832BB4">
      <w:pPr>
        <w:pStyle w:val="a5"/>
        <w:tabs>
          <w:tab w:val="clear" w:pos="4677"/>
          <w:tab w:val="clear" w:pos="9355"/>
        </w:tabs>
        <w:ind w:firstLine="709"/>
      </w:pPr>
    </w:p>
    <w:p w:rsidR="00E62487" w:rsidRPr="00B06DAB" w:rsidRDefault="00E62487" w:rsidP="00832BB4">
      <w:pPr>
        <w:pStyle w:val="22"/>
        <w:spacing w:after="0" w:line="240" w:lineRule="auto"/>
        <w:jc w:val="center"/>
        <w:rPr>
          <w:b/>
        </w:rPr>
      </w:pPr>
      <w:r w:rsidRPr="00B06DAB">
        <w:rPr>
          <w:b/>
        </w:rPr>
        <w:t xml:space="preserve">Общая оценка социально-экономической ситуации в </w:t>
      </w:r>
      <w:r w:rsidR="006344CE" w:rsidRPr="00B06DAB">
        <w:rPr>
          <w:b/>
        </w:rPr>
        <w:br/>
      </w:r>
      <w:r w:rsidRPr="00B06DAB">
        <w:rPr>
          <w:b/>
        </w:rPr>
        <w:t>Чувашской Республике за отчетный период</w:t>
      </w:r>
    </w:p>
    <w:p w:rsidR="00E62487" w:rsidRPr="00B06DAB" w:rsidRDefault="00E62487" w:rsidP="00832BB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Достигнутый уровень социально-экономического развития Чувашской Республики в 2019 году характеризовался следующими показателями: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объем валового регионального продукта в 2019 году, по оценке, – 101,1 процента в сопоставимых ценах (по России объем валового внутреннего продукта – 101,3 процента);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индекс промышленного производства – 104,3 процента (по России – 102,3 проце</w:t>
      </w:r>
      <w:r w:rsidRPr="00B06DAB">
        <w:rPr>
          <w:bCs/>
        </w:rPr>
        <w:t>н</w:t>
      </w:r>
      <w:r w:rsidRPr="00B06DAB">
        <w:rPr>
          <w:bCs/>
        </w:rPr>
        <w:t>та);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рост сельскохозяйственного производства – 105,1 процента (по России – 104,0 пр</w:t>
      </w:r>
      <w:r w:rsidRPr="00B06DAB">
        <w:rPr>
          <w:bCs/>
        </w:rPr>
        <w:t>о</w:t>
      </w:r>
      <w:r w:rsidRPr="00B06DAB">
        <w:rPr>
          <w:bCs/>
        </w:rPr>
        <w:t xml:space="preserve">цента); 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объем инвестиций в основной капитал – 105,7 процента (по России – 101,7 проце</w:t>
      </w:r>
      <w:r w:rsidRPr="00B06DAB">
        <w:rPr>
          <w:bCs/>
        </w:rPr>
        <w:t>н</w:t>
      </w:r>
      <w:r w:rsidRPr="00B06DAB">
        <w:rPr>
          <w:bCs/>
        </w:rPr>
        <w:t>та);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объем выполненных работ по виду деятельности «Строительство» – 83,7 процента (по России – 100,6 процента);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 xml:space="preserve">объем ввода жилья – 109,8 процента (по России – 106,2 процента); 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 xml:space="preserve">потребительская инфляция – 2 процента (по России – 3 процента); 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темп роста оборота розничной торговли – 104,7 процента (по России – 101,9 пр</w:t>
      </w:r>
      <w:r w:rsidRPr="00B06DAB">
        <w:rPr>
          <w:bCs/>
        </w:rPr>
        <w:t>о</w:t>
      </w:r>
      <w:r w:rsidRPr="00B06DAB">
        <w:rPr>
          <w:bCs/>
        </w:rPr>
        <w:t>цента), объема платных услуг населению – 100,3 процента (по России – 100,5 процента);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реальные располагаемые денежные доходы населения, по предварительным да</w:t>
      </w:r>
      <w:r w:rsidRPr="00B06DAB">
        <w:rPr>
          <w:bCs/>
        </w:rPr>
        <w:t>н</w:t>
      </w:r>
      <w:r w:rsidRPr="00B06DAB">
        <w:rPr>
          <w:bCs/>
        </w:rPr>
        <w:t>ным, – 104,2 процента (по России – 101,0 процента);</w:t>
      </w:r>
    </w:p>
    <w:p w:rsidR="00C07A38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rPr>
          <w:bCs/>
        </w:rPr>
        <w:t>численность безработных граждан, зарегистрированных в органах службы занят</w:t>
      </w:r>
      <w:r w:rsidRPr="00B06DAB">
        <w:rPr>
          <w:bCs/>
        </w:rPr>
        <w:t>о</w:t>
      </w:r>
      <w:r w:rsidRPr="00B06DAB">
        <w:rPr>
          <w:bCs/>
        </w:rPr>
        <w:t>сти на конец 2019 года, – 4222 человек (на конец 2018 года – 4135 человек).</w:t>
      </w:r>
    </w:p>
    <w:p w:rsidR="00CB2ACC" w:rsidRPr="00B06DAB" w:rsidRDefault="00C07A38" w:rsidP="00C07A38">
      <w:pPr>
        <w:tabs>
          <w:tab w:val="left" w:pos="9498"/>
          <w:tab w:val="left" w:pos="10206"/>
        </w:tabs>
        <w:ind w:firstLine="709"/>
        <w:jc w:val="both"/>
        <w:rPr>
          <w:bCs/>
        </w:rPr>
      </w:pPr>
      <w:r w:rsidRPr="00B06DAB">
        <w:t>Прогноз подготовлен с учетом ожидаемых внешних условий и принимаемых мер экономической политики</w:t>
      </w:r>
      <w:r w:rsidRPr="00B06DAB">
        <w:rPr>
          <w:bCs/>
        </w:rPr>
        <w:t xml:space="preserve"> </w:t>
      </w:r>
      <w:r w:rsidR="00CB2ACC" w:rsidRPr="00B06DAB">
        <w:rPr>
          <w:bCs/>
        </w:rPr>
        <w:t>Чувашской Республики, а также Российской Федерации в целом</w:t>
      </w:r>
      <w:r w:rsidR="00B25459" w:rsidRPr="00B06DAB">
        <w:rPr>
          <w:bCs/>
        </w:rPr>
        <w:t xml:space="preserve"> в </w:t>
      </w:r>
      <w:r w:rsidR="00CB2ACC" w:rsidRPr="00B06DAB">
        <w:rPr>
          <w:bCs/>
        </w:rPr>
        <w:t>прогноз</w:t>
      </w:r>
      <w:r w:rsidR="00B25459" w:rsidRPr="00B06DAB">
        <w:rPr>
          <w:bCs/>
        </w:rPr>
        <w:t>ируемом периоде</w:t>
      </w:r>
      <w:r w:rsidR="00CB2ACC" w:rsidRPr="00B06DAB">
        <w:rPr>
          <w:bCs/>
        </w:rPr>
        <w:t>.</w:t>
      </w:r>
    </w:p>
    <w:p w:rsidR="00AA45C9" w:rsidRPr="00B06DAB" w:rsidRDefault="00AA45C9" w:rsidP="002D177D">
      <w:pPr>
        <w:jc w:val="center"/>
        <w:rPr>
          <w:b/>
          <w:highlight w:val="yellow"/>
        </w:rPr>
      </w:pPr>
    </w:p>
    <w:p w:rsidR="00930FE0" w:rsidRPr="00B06DAB" w:rsidRDefault="00930FE0" w:rsidP="00832BB4">
      <w:pPr>
        <w:jc w:val="center"/>
        <w:rPr>
          <w:b/>
        </w:rPr>
      </w:pPr>
      <w:r w:rsidRPr="00B06DAB">
        <w:rPr>
          <w:b/>
        </w:rPr>
        <w:t>1. Население</w:t>
      </w:r>
    </w:p>
    <w:p w:rsidR="00930FE0" w:rsidRPr="00B06DAB" w:rsidRDefault="00930FE0" w:rsidP="00832BB4">
      <w:pPr>
        <w:jc w:val="center"/>
        <w:rPr>
          <w:b/>
        </w:rPr>
      </w:pPr>
    </w:p>
    <w:p w:rsidR="00930FE0" w:rsidRPr="00B06DAB" w:rsidRDefault="00930FE0" w:rsidP="00930FE0">
      <w:pPr>
        <w:ind w:firstLine="709"/>
        <w:jc w:val="both"/>
      </w:pPr>
      <w:r w:rsidRPr="00B06DAB">
        <w:t>Численность постоянного населения Чувашской Республики в 201</w:t>
      </w:r>
      <w:r w:rsidR="0009154C" w:rsidRPr="00B06DAB">
        <w:t>9</w:t>
      </w:r>
      <w:r w:rsidRPr="00B06DAB">
        <w:t xml:space="preserve"> году составила 122</w:t>
      </w:r>
      <w:r w:rsidR="0009154C" w:rsidRPr="00B06DAB">
        <w:t>0,6</w:t>
      </w:r>
      <w:r w:rsidRPr="00B06DAB">
        <w:t xml:space="preserve"> тыс. человек и сократилась по сравнению с 201</w:t>
      </w:r>
      <w:r w:rsidR="0009154C" w:rsidRPr="00B06DAB">
        <w:t>8</w:t>
      </w:r>
      <w:r w:rsidRPr="00B06DAB">
        <w:t xml:space="preserve"> годом на 0,5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t xml:space="preserve"> (на 6,</w:t>
      </w:r>
      <w:r w:rsidR="0009154C" w:rsidRPr="00B06DAB">
        <w:t>7</w:t>
      </w:r>
      <w:r w:rsidRPr="00B06DAB">
        <w:t xml:space="preserve"> тыс. человек). Динамика численности населения определяется комплексом факторов, осно</w:t>
      </w:r>
      <w:r w:rsidRPr="00B06DAB">
        <w:t>в</w:t>
      </w:r>
      <w:r w:rsidRPr="00B06DAB">
        <w:t>ными из которых являются естественное движение (рождаемость, смертность), состояние межрегиональных миграционных процессов, социально-экономическая привлекател</w:t>
      </w:r>
      <w:r w:rsidRPr="00B06DAB">
        <w:t>ь</w:t>
      </w:r>
      <w:r w:rsidRPr="00B06DAB">
        <w:t>ность административных территорий.</w:t>
      </w:r>
    </w:p>
    <w:p w:rsidR="0009154C" w:rsidRPr="00B06DAB" w:rsidRDefault="0009154C" w:rsidP="0009154C">
      <w:pPr>
        <w:ind w:firstLine="709"/>
        <w:jc w:val="both"/>
        <w:rPr>
          <w:rFonts w:eastAsia="Calibri"/>
          <w:lang w:eastAsia="en-US"/>
        </w:rPr>
      </w:pPr>
      <w:r w:rsidRPr="00B06DAB">
        <w:rPr>
          <w:rFonts w:eastAsia="Calibri"/>
          <w:lang w:eastAsia="en-US"/>
        </w:rPr>
        <w:t>При базовом варианте прогноза общий коэффициент рождаемости к 2024 году с</w:t>
      </w:r>
      <w:r w:rsidRPr="00B06DAB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>ставит 10,3 родившихся на 1 тыс. человек населения (рост по сравнению с показателем 2019 года на 8,4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rPr>
          <w:rFonts w:eastAsia="Calibri"/>
          <w:lang w:eastAsia="en-US"/>
        </w:rPr>
        <w:t>), общий коэффициент смертности снизится до 12 умерших на 1</w:t>
      </w:r>
      <w:r w:rsidR="00AE7347">
        <w:rPr>
          <w:rFonts w:eastAsia="Calibri"/>
          <w:lang w:eastAsia="en-US"/>
        </w:rPr>
        <w:t> </w:t>
      </w:r>
      <w:r w:rsidRPr="00B06DAB">
        <w:rPr>
          <w:rFonts w:eastAsia="Calibri"/>
          <w:lang w:eastAsia="en-US"/>
        </w:rPr>
        <w:t>тыс. человек населения (снижение по сравнению с показателем 2019 года на 3,2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</w:t>
      </w:r>
      <w:r w:rsidR="00B94348" w:rsidRPr="00B06DAB">
        <w:rPr>
          <w:bCs/>
        </w:rPr>
        <w:t>н</w:t>
      </w:r>
      <w:r w:rsidR="00B94348" w:rsidRPr="00B06DAB">
        <w:rPr>
          <w:bCs/>
        </w:rPr>
        <w:t>та</w:t>
      </w:r>
      <w:r w:rsidRPr="00B06DAB">
        <w:rPr>
          <w:rFonts w:eastAsia="Calibri"/>
          <w:lang w:eastAsia="en-US"/>
        </w:rPr>
        <w:t>).</w:t>
      </w:r>
    </w:p>
    <w:p w:rsidR="0009154C" w:rsidRPr="00B06DAB" w:rsidRDefault="0009154C" w:rsidP="0009154C">
      <w:pPr>
        <w:ind w:firstLine="709"/>
        <w:jc w:val="both"/>
        <w:rPr>
          <w:rFonts w:eastAsia="Calibri"/>
          <w:lang w:eastAsia="en-US"/>
        </w:rPr>
      </w:pPr>
      <w:r w:rsidRPr="00B06DAB">
        <w:rPr>
          <w:rFonts w:eastAsia="Calibri"/>
          <w:lang w:eastAsia="en-US"/>
        </w:rPr>
        <w:t>При консервативном варианте общий коэффициент рождаемости к 2024 году с</w:t>
      </w:r>
      <w:r w:rsidRPr="00B06DAB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>ставит 9 родившихся на 1 тыс. человек населения (снижение по сравнению с показателем 2019 года на 5,3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rPr>
          <w:rFonts w:eastAsia="Calibri"/>
          <w:lang w:eastAsia="en-US"/>
        </w:rPr>
        <w:t>), общий коэффициент смертности составит 12,6 умерших на 1</w:t>
      </w:r>
      <w:r w:rsidR="00AE7347">
        <w:rPr>
          <w:rFonts w:eastAsia="Calibri"/>
          <w:lang w:eastAsia="en-US"/>
        </w:rPr>
        <w:t> </w:t>
      </w:r>
      <w:r w:rsidRPr="00B06DAB">
        <w:rPr>
          <w:rFonts w:eastAsia="Calibri"/>
          <w:lang w:eastAsia="en-US"/>
        </w:rPr>
        <w:t>тыс. человек населения (выше показателя 2019 года на 1,6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rPr>
          <w:rFonts w:eastAsia="Calibri"/>
          <w:lang w:eastAsia="en-US"/>
        </w:rPr>
        <w:t>).</w:t>
      </w:r>
      <w:r w:rsidR="00B94348">
        <w:rPr>
          <w:rFonts w:eastAsia="Calibri"/>
          <w:lang w:eastAsia="en-US"/>
        </w:rPr>
        <w:t xml:space="preserve"> </w:t>
      </w:r>
    </w:p>
    <w:p w:rsidR="0009154C" w:rsidRPr="00B06DAB" w:rsidRDefault="0009154C" w:rsidP="0009154C">
      <w:pPr>
        <w:ind w:firstLine="709"/>
        <w:jc w:val="both"/>
        <w:rPr>
          <w:rFonts w:eastAsia="Calibri"/>
          <w:lang w:eastAsia="en-US"/>
        </w:rPr>
      </w:pPr>
      <w:r w:rsidRPr="00B06DAB">
        <w:rPr>
          <w:rFonts w:eastAsia="Calibri"/>
          <w:lang w:eastAsia="en-US"/>
        </w:rPr>
        <w:t>Мероприятия по сокращению уровня смертности, прежде всего граждан трудосп</w:t>
      </w:r>
      <w:r w:rsidRPr="00B06DAB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>собного возраста, будут способствовать снижению возрастных коэффициентов смертн</w:t>
      </w:r>
      <w:r w:rsidRPr="00B06DAB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>сти, что тем не менее не сможет компенсировать тенденции в рождаемости, связанные с сокращением числа женщин ран</w:t>
      </w:r>
      <w:proofErr w:type="gramStart"/>
      <w:r w:rsidRPr="00B06DAB">
        <w:rPr>
          <w:rFonts w:eastAsia="Calibri"/>
          <w:lang w:eastAsia="en-US"/>
        </w:rPr>
        <w:t>е-</w:t>
      </w:r>
      <w:proofErr w:type="gramEnd"/>
      <w:r w:rsidRPr="00B06DAB">
        <w:rPr>
          <w:rFonts w:eastAsia="Calibri"/>
          <w:lang w:eastAsia="en-US"/>
        </w:rPr>
        <w:t xml:space="preserve"> и средне-репродуктивного возраста (20 лет – 34 года), а </w:t>
      </w:r>
      <w:r w:rsidRPr="00B06DAB">
        <w:rPr>
          <w:rFonts w:eastAsia="Calibri"/>
          <w:lang w:eastAsia="en-US"/>
        </w:rPr>
        <w:lastRenderedPageBreak/>
        <w:t xml:space="preserve">также откладыванием рождения первого ребенка на более поздний период, и приведет к сохранению естественной убыли населения вплоть до 2024 года. </w:t>
      </w:r>
    </w:p>
    <w:p w:rsidR="0009154C" w:rsidRPr="00B06DAB" w:rsidRDefault="0009154C" w:rsidP="0009154C">
      <w:pPr>
        <w:ind w:firstLine="709"/>
        <w:jc w:val="both"/>
        <w:rPr>
          <w:rFonts w:eastAsia="Calibri"/>
          <w:lang w:eastAsia="en-US"/>
        </w:rPr>
      </w:pPr>
      <w:r w:rsidRPr="00B06DAB">
        <w:rPr>
          <w:rFonts w:eastAsia="Calibri"/>
          <w:lang w:eastAsia="en-US"/>
        </w:rPr>
        <w:t xml:space="preserve">Вместе с тем при расчете и базового, и консервативного </w:t>
      </w:r>
      <w:r w:rsidR="00B94348">
        <w:rPr>
          <w:rFonts w:eastAsia="Calibri"/>
          <w:lang w:eastAsia="en-US"/>
        </w:rPr>
        <w:t xml:space="preserve">вариантов </w:t>
      </w:r>
      <w:r w:rsidRPr="00B06DAB">
        <w:rPr>
          <w:rFonts w:eastAsia="Calibri"/>
          <w:lang w:eastAsia="en-US"/>
        </w:rPr>
        <w:t>прогноза, учт</w:t>
      </w:r>
      <w:r w:rsidRPr="00B06DAB">
        <w:rPr>
          <w:rFonts w:eastAsia="Calibri"/>
          <w:lang w:eastAsia="en-US"/>
        </w:rPr>
        <w:t>е</w:t>
      </w:r>
      <w:r w:rsidRPr="00B06DAB">
        <w:rPr>
          <w:rFonts w:eastAsia="Calibri"/>
          <w:lang w:eastAsia="en-US"/>
        </w:rPr>
        <w:t>ны реализуемые и планируемые в 2020 году к реализации меры социальной поддержки семей с детьми федерального и республиканского уровня.</w:t>
      </w:r>
    </w:p>
    <w:p w:rsidR="0009154C" w:rsidRPr="00B06DAB" w:rsidRDefault="0009154C" w:rsidP="0009154C">
      <w:pPr>
        <w:ind w:firstLine="709"/>
        <w:jc w:val="both"/>
        <w:rPr>
          <w:rFonts w:eastAsia="Calibri"/>
          <w:lang w:eastAsia="en-US"/>
        </w:rPr>
      </w:pPr>
      <w:r w:rsidRPr="00B06DAB">
        <w:rPr>
          <w:rFonts w:eastAsia="Calibri"/>
          <w:lang w:eastAsia="en-US"/>
        </w:rPr>
        <w:t>По оценке 2020 года ожидаемая продолжительность жизни возрастет на 0,8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</w:t>
      </w:r>
      <w:r w:rsidR="00B94348" w:rsidRPr="00B06DAB">
        <w:rPr>
          <w:bCs/>
        </w:rPr>
        <w:t>о</w:t>
      </w:r>
      <w:r w:rsidR="00B94348" w:rsidRPr="00B06DAB">
        <w:rPr>
          <w:bCs/>
        </w:rPr>
        <w:t>цента</w:t>
      </w:r>
      <w:r w:rsidRPr="00B06DAB">
        <w:rPr>
          <w:rFonts w:eastAsia="Calibri"/>
          <w:lang w:eastAsia="en-US"/>
        </w:rPr>
        <w:t xml:space="preserve"> по сравнению с показателем 2019 года, или на 0,58 года. На замедление динамики роста показателя может повлиять в том числе ситуация, связанная с санитарно-эпидемиологической обстановкой в марте-июне 2020 г.</w:t>
      </w:r>
      <w:r w:rsidR="00B94348">
        <w:rPr>
          <w:rFonts w:eastAsia="Calibri"/>
          <w:lang w:eastAsia="en-US"/>
        </w:rPr>
        <w:t xml:space="preserve"> </w:t>
      </w:r>
    </w:p>
    <w:p w:rsidR="0009154C" w:rsidRPr="00B06DAB" w:rsidRDefault="0009154C" w:rsidP="0009154C">
      <w:pPr>
        <w:ind w:firstLine="709"/>
        <w:jc w:val="both"/>
        <w:rPr>
          <w:rFonts w:eastAsia="Calibri"/>
          <w:highlight w:val="yellow"/>
          <w:lang w:eastAsia="en-US"/>
        </w:rPr>
      </w:pPr>
      <w:r w:rsidRPr="00B06DAB">
        <w:rPr>
          <w:rFonts w:eastAsia="Calibri"/>
          <w:lang w:eastAsia="en-US"/>
        </w:rPr>
        <w:t>П</w:t>
      </w:r>
      <w:r w:rsidR="00B94348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 xml:space="preserve"> базовом</w:t>
      </w:r>
      <w:r w:rsidR="00B94348">
        <w:rPr>
          <w:rFonts w:eastAsia="Calibri"/>
          <w:lang w:eastAsia="en-US"/>
        </w:rPr>
        <w:t>у</w:t>
      </w:r>
      <w:r w:rsidRPr="00B06DAB">
        <w:rPr>
          <w:rFonts w:eastAsia="Calibri"/>
          <w:lang w:eastAsia="en-US"/>
        </w:rPr>
        <w:t xml:space="preserve"> вариант</w:t>
      </w:r>
      <w:r w:rsidR="00B94348">
        <w:rPr>
          <w:rFonts w:eastAsia="Calibri"/>
          <w:lang w:eastAsia="en-US"/>
        </w:rPr>
        <w:t>у</w:t>
      </w:r>
      <w:r w:rsidRPr="00B06DAB">
        <w:rPr>
          <w:rFonts w:eastAsia="Calibri"/>
          <w:lang w:eastAsia="en-US"/>
        </w:rPr>
        <w:t xml:space="preserve"> прогноза ожидаемая продолжительность жизни к 202</w:t>
      </w:r>
      <w:r w:rsidR="00B94348">
        <w:rPr>
          <w:rFonts w:eastAsia="Calibri"/>
          <w:lang w:eastAsia="en-US"/>
        </w:rPr>
        <w:t>3</w:t>
      </w:r>
      <w:r w:rsidRPr="00B06DAB">
        <w:rPr>
          <w:rFonts w:eastAsia="Calibri"/>
          <w:lang w:eastAsia="en-US"/>
        </w:rPr>
        <w:t xml:space="preserve"> году возрастет на 5</w:t>
      </w:r>
      <w:r w:rsidR="00B94348">
        <w:rPr>
          <w:rFonts w:eastAsia="Calibri"/>
          <w:lang w:eastAsia="en-US"/>
        </w:rPr>
        <w:t xml:space="preserve"> </w:t>
      </w:r>
      <w:r w:rsidR="00B94348" w:rsidRPr="00B06DAB">
        <w:rPr>
          <w:bCs/>
        </w:rPr>
        <w:t>процент</w:t>
      </w:r>
      <w:r w:rsidR="00B94348">
        <w:rPr>
          <w:bCs/>
        </w:rPr>
        <w:t>ов</w:t>
      </w:r>
      <w:r w:rsidRPr="00B06DAB">
        <w:rPr>
          <w:rFonts w:eastAsia="Calibri"/>
          <w:lang w:eastAsia="en-US"/>
        </w:rPr>
        <w:t xml:space="preserve"> (по сравнению с показателем 2019 года), п</w:t>
      </w:r>
      <w:r w:rsidR="00B94348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 xml:space="preserve"> консервативном</w:t>
      </w:r>
      <w:r w:rsidR="00B94348">
        <w:rPr>
          <w:rFonts w:eastAsia="Calibri"/>
          <w:lang w:eastAsia="en-US"/>
        </w:rPr>
        <w:t>у</w:t>
      </w:r>
      <w:r w:rsidRPr="00B06DAB">
        <w:rPr>
          <w:rFonts w:eastAsia="Calibri"/>
          <w:lang w:eastAsia="en-US"/>
        </w:rPr>
        <w:t xml:space="preserve"> вариант</w:t>
      </w:r>
      <w:r w:rsidR="00B94348">
        <w:rPr>
          <w:rFonts w:eastAsia="Calibri"/>
          <w:lang w:eastAsia="en-US"/>
        </w:rPr>
        <w:t>у</w:t>
      </w:r>
      <w:r w:rsidR="00AE7347">
        <w:rPr>
          <w:rFonts w:eastAsia="Calibri"/>
          <w:lang w:eastAsia="en-US"/>
        </w:rPr>
        <w:t xml:space="preserve"> </w:t>
      </w:r>
      <w:r w:rsidRPr="00B06DAB">
        <w:rPr>
          <w:rFonts w:eastAsia="Calibri"/>
          <w:lang w:eastAsia="en-US"/>
        </w:rPr>
        <w:t>– на 3,2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rPr>
          <w:rFonts w:eastAsia="Calibri"/>
          <w:lang w:eastAsia="en-US"/>
        </w:rPr>
        <w:t>.</w:t>
      </w:r>
      <w:r w:rsidR="00B94348">
        <w:rPr>
          <w:rFonts w:eastAsia="Calibri"/>
          <w:lang w:eastAsia="en-US"/>
        </w:rPr>
        <w:t xml:space="preserve">  </w:t>
      </w:r>
    </w:p>
    <w:p w:rsidR="00930FE0" w:rsidRPr="00B06DAB" w:rsidRDefault="00930FE0" w:rsidP="00930FE0">
      <w:pPr>
        <w:ind w:firstLine="709"/>
        <w:jc w:val="both"/>
        <w:rPr>
          <w:rFonts w:eastAsia="Calibri"/>
          <w:lang w:eastAsia="en-US"/>
        </w:rPr>
      </w:pPr>
      <w:r w:rsidRPr="00B06DAB">
        <w:rPr>
          <w:rFonts w:eastAsia="Calibri"/>
          <w:lang w:eastAsia="en-US"/>
        </w:rPr>
        <w:t>Суммарный коэффициент рождаемости</w:t>
      </w:r>
      <w:r w:rsidR="002A3EDF">
        <w:rPr>
          <w:rFonts w:eastAsia="Calibri"/>
          <w:lang w:eastAsia="en-US"/>
        </w:rPr>
        <w:t>,</w:t>
      </w:r>
      <w:r w:rsidRPr="00B06DAB">
        <w:rPr>
          <w:rFonts w:eastAsia="Calibri"/>
          <w:lang w:eastAsia="en-US"/>
        </w:rPr>
        <w:t xml:space="preserve"> по оценке</w:t>
      </w:r>
      <w:r w:rsidR="002A3EDF">
        <w:rPr>
          <w:rFonts w:eastAsia="Calibri"/>
          <w:lang w:eastAsia="en-US"/>
        </w:rPr>
        <w:t>,</w:t>
      </w:r>
      <w:r w:rsidRPr="00B06DAB">
        <w:rPr>
          <w:rFonts w:eastAsia="Calibri"/>
          <w:lang w:eastAsia="en-US"/>
        </w:rPr>
        <w:t xml:space="preserve"> в 20</w:t>
      </w:r>
      <w:r w:rsidR="0009154C" w:rsidRPr="00B06DAB">
        <w:rPr>
          <w:rFonts w:eastAsia="Calibri"/>
          <w:lang w:eastAsia="en-US"/>
        </w:rPr>
        <w:t>20</w:t>
      </w:r>
      <w:r w:rsidRPr="00B06DAB">
        <w:rPr>
          <w:rFonts w:eastAsia="Calibri"/>
          <w:lang w:eastAsia="en-US"/>
        </w:rPr>
        <w:t xml:space="preserve"> году составит 1,</w:t>
      </w:r>
      <w:r w:rsidR="0009154C" w:rsidRPr="00B06DAB">
        <w:rPr>
          <w:rFonts w:eastAsia="Calibri"/>
          <w:lang w:eastAsia="en-US"/>
        </w:rPr>
        <w:t>474</w:t>
      </w:r>
      <w:r w:rsidRPr="00B06DAB">
        <w:rPr>
          <w:rFonts w:eastAsia="Calibri"/>
          <w:lang w:eastAsia="en-US"/>
        </w:rPr>
        <w:t>, что выше показателя за 201</w:t>
      </w:r>
      <w:r w:rsidR="0009154C" w:rsidRPr="00B06DAB">
        <w:rPr>
          <w:rFonts w:eastAsia="Calibri"/>
          <w:lang w:eastAsia="en-US"/>
        </w:rPr>
        <w:t>9</w:t>
      </w:r>
      <w:r w:rsidRPr="00B06DAB">
        <w:rPr>
          <w:rFonts w:eastAsia="Calibri"/>
          <w:lang w:eastAsia="en-US"/>
        </w:rPr>
        <w:t xml:space="preserve"> год на </w:t>
      </w:r>
      <w:r w:rsidR="0009154C" w:rsidRPr="00B06DAB">
        <w:rPr>
          <w:rFonts w:eastAsia="Calibri"/>
          <w:lang w:eastAsia="en-US"/>
        </w:rPr>
        <w:t>0,6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rPr>
          <w:rFonts w:eastAsia="Calibri"/>
          <w:lang w:eastAsia="en-US"/>
        </w:rPr>
        <w:t>. П</w:t>
      </w:r>
      <w:r w:rsidR="00B94348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 xml:space="preserve"> базовом</w:t>
      </w:r>
      <w:r w:rsidR="00B94348">
        <w:rPr>
          <w:rFonts w:eastAsia="Calibri"/>
          <w:lang w:eastAsia="en-US"/>
        </w:rPr>
        <w:t>у</w:t>
      </w:r>
      <w:r w:rsidRPr="00B06DAB">
        <w:rPr>
          <w:rFonts w:eastAsia="Calibri"/>
          <w:lang w:eastAsia="en-US"/>
        </w:rPr>
        <w:t xml:space="preserve"> вариант</w:t>
      </w:r>
      <w:r w:rsidR="00B94348">
        <w:rPr>
          <w:rFonts w:eastAsia="Calibri"/>
          <w:lang w:eastAsia="en-US"/>
        </w:rPr>
        <w:t>у</w:t>
      </w:r>
      <w:r w:rsidRPr="00B06DAB">
        <w:rPr>
          <w:rFonts w:eastAsia="Calibri"/>
          <w:lang w:eastAsia="en-US"/>
        </w:rPr>
        <w:t xml:space="preserve"> прогноза суммарный коэффициент рождаемости к 202</w:t>
      </w:r>
      <w:r w:rsidR="00063181" w:rsidRPr="00B06DAB">
        <w:rPr>
          <w:rFonts w:eastAsia="Calibri"/>
          <w:lang w:eastAsia="en-US"/>
        </w:rPr>
        <w:t>3</w:t>
      </w:r>
      <w:r w:rsidRPr="00B06DAB">
        <w:rPr>
          <w:rFonts w:eastAsia="Calibri"/>
          <w:lang w:eastAsia="en-US"/>
        </w:rPr>
        <w:t xml:space="preserve"> году возрастет на 1</w:t>
      </w:r>
      <w:r w:rsidR="00C7375D" w:rsidRPr="00B06DAB">
        <w:rPr>
          <w:rFonts w:eastAsia="Calibri"/>
          <w:lang w:eastAsia="en-US"/>
        </w:rPr>
        <w:t>9,5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rPr>
          <w:rFonts w:eastAsia="Calibri"/>
          <w:lang w:eastAsia="en-US"/>
        </w:rPr>
        <w:t xml:space="preserve"> (по сравнению с пок</w:t>
      </w:r>
      <w:r w:rsidRPr="00B06DAB">
        <w:rPr>
          <w:rFonts w:eastAsia="Calibri"/>
          <w:lang w:eastAsia="en-US"/>
        </w:rPr>
        <w:t>а</w:t>
      </w:r>
      <w:r w:rsidRPr="00B06DAB">
        <w:rPr>
          <w:rFonts w:eastAsia="Calibri"/>
          <w:lang w:eastAsia="en-US"/>
        </w:rPr>
        <w:t>зателем 201</w:t>
      </w:r>
      <w:r w:rsidR="00C7375D" w:rsidRPr="00B06DAB">
        <w:rPr>
          <w:rFonts w:eastAsia="Calibri"/>
          <w:lang w:eastAsia="en-US"/>
        </w:rPr>
        <w:t>9</w:t>
      </w:r>
      <w:r w:rsidRPr="00B06DAB">
        <w:rPr>
          <w:rFonts w:eastAsia="Calibri"/>
          <w:lang w:eastAsia="en-US"/>
        </w:rPr>
        <w:t> года), п</w:t>
      </w:r>
      <w:r w:rsidR="00B94348">
        <w:rPr>
          <w:rFonts w:eastAsia="Calibri"/>
          <w:lang w:eastAsia="en-US"/>
        </w:rPr>
        <w:t>о</w:t>
      </w:r>
      <w:r w:rsidRPr="00B06DAB">
        <w:rPr>
          <w:rFonts w:eastAsia="Calibri"/>
          <w:lang w:eastAsia="en-US"/>
        </w:rPr>
        <w:t xml:space="preserve"> консервативном</w:t>
      </w:r>
      <w:r w:rsidR="00B94348">
        <w:rPr>
          <w:rFonts w:eastAsia="Calibri"/>
          <w:lang w:eastAsia="en-US"/>
        </w:rPr>
        <w:t>у</w:t>
      </w:r>
      <w:r w:rsidRPr="00B06DAB">
        <w:rPr>
          <w:rFonts w:eastAsia="Calibri"/>
          <w:lang w:eastAsia="en-US"/>
        </w:rPr>
        <w:t xml:space="preserve"> вариант</w:t>
      </w:r>
      <w:r w:rsidR="00B94348">
        <w:rPr>
          <w:rFonts w:eastAsia="Calibri"/>
          <w:lang w:eastAsia="en-US"/>
        </w:rPr>
        <w:t>у</w:t>
      </w:r>
      <w:r w:rsidRPr="00B06DAB">
        <w:rPr>
          <w:rFonts w:eastAsia="Calibri"/>
          <w:lang w:eastAsia="en-US"/>
        </w:rPr>
        <w:t xml:space="preserve"> – на </w:t>
      </w:r>
      <w:r w:rsidR="00C7375D" w:rsidRPr="00B06DAB">
        <w:rPr>
          <w:rFonts w:eastAsia="Calibri"/>
          <w:lang w:eastAsia="en-US"/>
        </w:rPr>
        <w:t>10</w:t>
      </w:r>
      <w:r w:rsidRPr="00B06DAB">
        <w:rPr>
          <w:rFonts w:eastAsia="Calibri"/>
          <w:lang w:eastAsia="en-US"/>
        </w:rPr>
        <w:t>,6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Pr="00B06DAB">
        <w:rPr>
          <w:rFonts w:eastAsia="Calibri"/>
          <w:lang w:eastAsia="en-US"/>
        </w:rPr>
        <w:t>.</w:t>
      </w:r>
    </w:p>
    <w:p w:rsidR="00930FE0" w:rsidRPr="00B06DAB" w:rsidRDefault="00930FE0" w:rsidP="00930FE0">
      <w:pPr>
        <w:ind w:firstLine="709"/>
        <w:jc w:val="both"/>
        <w:rPr>
          <w:highlight w:val="yellow"/>
        </w:rPr>
      </w:pPr>
      <w:r w:rsidRPr="00B06DAB">
        <w:t xml:space="preserve">Наряду с естественным движением населения (рождаемость, смертность), </w:t>
      </w:r>
      <w:r w:rsidR="00063181" w:rsidRPr="00B06DAB">
        <w:t>немал</w:t>
      </w:r>
      <w:r w:rsidR="00063181" w:rsidRPr="00B06DAB">
        <w:t>о</w:t>
      </w:r>
      <w:r w:rsidR="00063181" w:rsidRPr="00B06DAB">
        <w:t xml:space="preserve">важную роль в формировании численности населения республики и его размещении по районам и городам играет </w:t>
      </w:r>
      <w:r w:rsidRPr="00B06DAB">
        <w:t>миграция. В Чувашской Республике самая высокая плотность населения на 1 кв. км среди регионов ПФО – 6</w:t>
      </w:r>
      <w:r w:rsidR="00063181" w:rsidRPr="00B06DAB">
        <w:t>6,4</w:t>
      </w:r>
      <w:r w:rsidRPr="00B06DAB">
        <w:t xml:space="preserve"> км</w:t>
      </w:r>
      <w:proofErr w:type="gramStart"/>
      <w:r w:rsidRPr="00B06DAB">
        <w:rPr>
          <w:vertAlign w:val="superscript"/>
        </w:rPr>
        <w:t>2</w:t>
      </w:r>
      <w:proofErr w:type="gramEnd"/>
      <w:r w:rsidRPr="00B06DAB">
        <w:t>. Для республики всегда была хара</w:t>
      </w:r>
      <w:r w:rsidRPr="00B06DAB">
        <w:t>к</w:t>
      </w:r>
      <w:r w:rsidRPr="00B06DAB">
        <w:t>терна трудовая миграция, как в соседние, так и в столичные регионы. Миграционная убыль в 201</w:t>
      </w:r>
      <w:r w:rsidR="00063181" w:rsidRPr="00B06DAB">
        <w:t>9</w:t>
      </w:r>
      <w:r w:rsidRPr="00B06DAB">
        <w:t xml:space="preserve"> году составила </w:t>
      </w:r>
      <w:r w:rsidR="00063181" w:rsidRPr="00B06DAB">
        <w:t>2,0</w:t>
      </w:r>
      <w:r w:rsidRPr="00B06DAB">
        <w:t xml:space="preserve"> тыс. человек, в 20</w:t>
      </w:r>
      <w:r w:rsidR="002A3EDF">
        <w:t>20</w:t>
      </w:r>
      <w:r w:rsidRPr="00B06DAB">
        <w:t xml:space="preserve"> году</w:t>
      </w:r>
      <w:r w:rsidR="002A3EDF">
        <w:t>,</w:t>
      </w:r>
      <w:r w:rsidRPr="00B06DAB">
        <w:t xml:space="preserve"> по оценке</w:t>
      </w:r>
      <w:r w:rsidR="002A3EDF">
        <w:t>,</w:t>
      </w:r>
      <w:r w:rsidRPr="00B06DAB">
        <w:t xml:space="preserve"> составит </w:t>
      </w:r>
      <w:r w:rsidR="00063181" w:rsidRPr="00B06DAB">
        <w:t>5,4</w:t>
      </w:r>
      <w:r w:rsidRPr="00B06DAB">
        <w:t xml:space="preserve"> тыс. человек. В 202</w:t>
      </w:r>
      <w:r w:rsidR="00063181" w:rsidRPr="00B06DAB">
        <w:t>3</w:t>
      </w:r>
      <w:r w:rsidRPr="00B06DAB">
        <w:t xml:space="preserve"> году миграционная убыль сократится и по базовому варианту составит 2,</w:t>
      </w:r>
      <w:r w:rsidR="00063181" w:rsidRPr="00B06DAB">
        <w:t>9</w:t>
      </w:r>
      <w:r w:rsidRPr="00B06DAB">
        <w:t xml:space="preserve"> тыс. человек. </w:t>
      </w:r>
    </w:p>
    <w:p w:rsidR="00930FE0" w:rsidRPr="00B06DAB" w:rsidRDefault="00930FE0" w:rsidP="00832BB4">
      <w:pPr>
        <w:jc w:val="center"/>
        <w:rPr>
          <w:b/>
        </w:rPr>
      </w:pPr>
    </w:p>
    <w:p w:rsidR="006344CE" w:rsidRPr="00B06DAB" w:rsidRDefault="00930FE0" w:rsidP="00832BB4">
      <w:pPr>
        <w:jc w:val="center"/>
        <w:rPr>
          <w:b/>
        </w:rPr>
      </w:pPr>
      <w:r w:rsidRPr="00B06DAB">
        <w:rPr>
          <w:b/>
        </w:rPr>
        <w:t>2</w:t>
      </w:r>
      <w:r w:rsidR="006344CE" w:rsidRPr="00B06DAB">
        <w:rPr>
          <w:b/>
        </w:rPr>
        <w:t>. Производство валового регионального продукта</w:t>
      </w:r>
    </w:p>
    <w:p w:rsidR="00971DA0" w:rsidRPr="00B06DAB" w:rsidRDefault="00971DA0" w:rsidP="00832BB4">
      <w:pPr>
        <w:jc w:val="center"/>
        <w:rPr>
          <w:b/>
        </w:rPr>
      </w:pPr>
    </w:p>
    <w:p w:rsidR="009835E7" w:rsidRPr="00B06DAB" w:rsidRDefault="002218A6" w:rsidP="00832BB4">
      <w:pPr>
        <w:tabs>
          <w:tab w:val="left" w:pos="851"/>
        </w:tabs>
        <w:ind w:firstLine="709"/>
        <w:contextualSpacing/>
        <w:jc w:val="both"/>
      </w:pPr>
      <w:r w:rsidRPr="00B06DAB">
        <w:t xml:space="preserve">Обобщающим показателем социально-экономического развития региона является объем валового регионального продукта (далее – ВРП), характеризующий достигнутый уровень производства товаров и услуг по основным отраслям экономики. </w:t>
      </w:r>
      <w:r w:rsidR="006B3DCC" w:rsidRPr="00B06DAB">
        <w:t>Динамика да</w:t>
      </w:r>
      <w:r w:rsidR="006B3DCC" w:rsidRPr="00B06DAB">
        <w:t>н</w:t>
      </w:r>
      <w:r w:rsidR="006B3DCC" w:rsidRPr="00B06DAB">
        <w:t>ного показателя в прогнозируемом периоде будет определяться темпами роста в сектор</w:t>
      </w:r>
      <w:r w:rsidR="00BD7C03">
        <w:t>ах</w:t>
      </w:r>
      <w:r w:rsidR="006B3DCC" w:rsidRPr="00B06DAB">
        <w:t xml:space="preserve"> экономики Чувашской Республики. </w:t>
      </w:r>
      <w:r w:rsidR="00E20F45" w:rsidRPr="00B06DAB">
        <w:t>Основной отраслью экономики Чувашской Республ</w:t>
      </w:r>
      <w:r w:rsidR="00E20F45" w:rsidRPr="00B06DAB">
        <w:t>и</w:t>
      </w:r>
      <w:r w:rsidR="00E20F45" w:rsidRPr="00B06DAB">
        <w:t xml:space="preserve">ки является промышленность, которая формировала </w:t>
      </w:r>
      <w:r w:rsidR="00C0355A">
        <w:t>32,7</w:t>
      </w:r>
      <w:bookmarkStart w:id="0" w:name="_GoBack"/>
      <w:bookmarkEnd w:id="0"/>
      <w:r w:rsidR="00BD7C03" w:rsidRPr="00BD7C03">
        <w:t xml:space="preserve"> процента</w:t>
      </w:r>
      <w:r w:rsidR="00E20F45" w:rsidRPr="00B06DAB">
        <w:t xml:space="preserve"> ВРП. На втором месте по удельному весу находится оптовая и розничная торговля (</w:t>
      </w:r>
      <w:r w:rsidR="00544479" w:rsidRPr="00B06DAB">
        <w:t>13,7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="00E20F45" w:rsidRPr="00B06DAB">
        <w:t xml:space="preserve">), затем </w:t>
      </w:r>
      <w:r w:rsidR="00804116" w:rsidRPr="00B06DAB">
        <w:t>сел</w:t>
      </w:r>
      <w:r w:rsidR="00804116" w:rsidRPr="00B06DAB">
        <w:t>ь</w:t>
      </w:r>
      <w:r w:rsidR="00804116" w:rsidRPr="00B06DAB">
        <w:t>ское хозяйство, охота и лесное хозяйство (</w:t>
      </w:r>
      <w:r w:rsidR="004E2F27" w:rsidRPr="00B06DAB">
        <w:t>8,3</w:t>
      </w:r>
      <w:r w:rsidR="00BD7C03" w:rsidRPr="00BD7C03">
        <w:t xml:space="preserve"> процента</w:t>
      </w:r>
      <w:r w:rsidR="00804116" w:rsidRPr="00B06DAB">
        <w:t xml:space="preserve">), </w:t>
      </w:r>
      <w:r w:rsidR="00E9118E" w:rsidRPr="00B06DAB">
        <w:t>строительство (</w:t>
      </w:r>
      <w:r w:rsidR="004E2F27" w:rsidRPr="00B06DAB">
        <w:t>6,1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="00E9118E" w:rsidRPr="00B06DAB">
        <w:t xml:space="preserve">), </w:t>
      </w:r>
      <w:r w:rsidR="00544479" w:rsidRPr="00B06DAB">
        <w:t>транспортировка и хранение</w:t>
      </w:r>
      <w:r w:rsidR="00E20F45" w:rsidRPr="00B06DAB">
        <w:t xml:space="preserve"> (</w:t>
      </w:r>
      <w:r w:rsidR="00544479" w:rsidRPr="00B06DAB">
        <w:t>5,</w:t>
      </w:r>
      <w:r w:rsidR="004E2F27" w:rsidRPr="00B06DAB">
        <w:t>6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="00E20F45" w:rsidRPr="00B06DAB">
        <w:t xml:space="preserve">). </w:t>
      </w:r>
      <w:r w:rsidR="008F7003" w:rsidRPr="00B06DAB">
        <w:t>Доля добавленной стоимости, созданной эт</w:t>
      </w:r>
      <w:r w:rsidR="008F7003" w:rsidRPr="00B06DAB">
        <w:t>и</w:t>
      </w:r>
      <w:r w:rsidR="008F7003" w:rsidRPr="00B06DAB">
        <w:t xml:space="preserve">ми отраслями, в общем объеме валового регионального продукта составляет </w:t>
      </w:r>
      <w:r w:rsidR="00544479" w:rsidRPr="00B06DAB">
        <w:t>66,</w:t>
      </w:r>
      <w:r w:rsidR="004E2F27" w:rsidRPr="00B06DAB">
        <w:t>8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</w:t>
      </w:r>
      <w:r w:rsidR="00BD7C03" w:rsidRPr="00B06DAB">
        <w:rPr>
          <w:bCs/>
        </w:rPr>
        <w:t>н</w:t>
      </w:r>
      <w:r w:rsidR="00BD7C03" w:rsidRPr="00B06DAB">
        <w:rPr>
          <w:bCs/>
        </w:rPr>
        <w:t>та</w:t>
      </w:r>
      <w:r w:rsidR="009D5783" w:rsidRPr="00B06DAB">
        <w:t>.</w:t>
      </w:r>
    </w:p>
    <w:p w:rsidR="004B04A7" w:rsidRPr="00B06DAB" w:rsidRDefault="00BA5EE9" w:rsidP="004B04A7">
      <w:pPr>
        <w:tabs>
          <w:tab w:val="left" w:pos="851"/>
        </w:tabs>
        <w:ind w:firstLine="709"/>
        <w:contextualSpacing/>
        <w:jc w:val="both"/>
        <w:rPr>
          <w:highlight w:val="yellow"/>
        </w:rPr>
      </w:pPr>
      <w:r w:rsidRPr="00B06DAB">
        <w:t>Индекс физического объема валового регионального продукта в 20</w:t>
      </w:r>
      <w:r w:rsidR="00C07A38" w:rsidRPr="00B06DAB">
        <w:t>20</w:t>
      </w:r>
      <w:r w:rsidRPr="00B06DAB">
        <w:t xml:space="preserve"> году</w:t>
      </w:r>
      <w:r w:rsidR="007D0BDB" w:rsidRPr="00B06DAB">
        <w:t>,</w:t>
      </w:r>
      <w:r w:rsidRPr="00B06DAB">
        <w:t xml:space="preserve"> </w:t>
      </w:r>
      <w:r w:rsidR="0063094A" w:rsidRPr="00B06DAB">
        <w:t>по оценке</w:t>
      </w:r>
      <w:r w:rsidR="007D0BDB" w:rsidRPr="00B06DAB">
        <w:t>,</w:t>
      </w:r>
      <w:r w:rsidR="0063094A" w:rsidRPr="00B06DAB">
        <w:t xml:space="preserve"> </w:t>
      </w:r>
      <w:r w:rsidRPr="00B06DAB">
        <w:t xml:space="preserve">составит </w:t>
      </w:r>
      <w:r w:rsidR="00C07A38" w:rsidRPr="00B06DAB">
        <w:t>98,5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t xml:space="preserve"> к уровню 201</w:t>
      </w:r>
      <w:r w:rsidR="00C07A38" w:rsidRPr="00B06DAB">
        <w:t>9</w:t>
      </w:r>
      <w:r w:rsidRPr="00B06DAB">
        <w:t xml:space="preserve"> года. </w:t>
      </w:r>
      <w:r w:rsidR="004B04A7" w:rsidRPr="00B06DAB">
        <w:t xml:space="preserve">Основной вклад в снижение ВРП в 2020 году внесут потребительские расходы, наиболее ощутимым падение будет в секторе потребительского рынка: оборот розничной торговли в 2020 году снизится на 5,5 </w:t>
      </w:r>
      <w:r w:rsidR="00B94348" w:rsidRPr="00B06DAB">
        <w:rPr>
          <w:bCs/>
        </w:rPr>
        <w:t>проце</w:t>
      </w:r>
      <w:r w:rsidR="00B94348" w:rsidRPr="00B06DAB">
        <w:rPr>
          <w:bCs/>
        </w:rPr>
        <w:t>н</w:t>
      </w:r>
      <w:r w:rsidR="00B94348" w:rsidRPr="00B06DAB">
        <w:rPr>
          <w:bCs/>
        </w:rPr>
        <w:t>та</w:t>
      </w:r>
      <w:r w:rsidR="004B04A7" w:rsidRPr="00B06DAB">
        <w:t xml:space="preserve">, объем платных услуг населению </w:t>
      </w:r>
      <w:r w:rsidR="007D0BDB" w:rsidRPr="00B06DAB">
        <w:t>упадет</w:t>
      </w:r>
      <w:r w:rsidR="004B04A7" w:rsidRPr="00B06DAB">
        <w:t xml:space="preserve"> на </w:t>
      </w:r>
      <w:r w:rsidR="003D32D2" w:rsidRPr="00B06DAB">
        <w:t>8,5</w:t>
      </w:r>
      <w:r w:rsidR="00B94348" w:rsidRPr="00B94348">
        <w:rPr>
          <w:bCs/>
        </w:rPr>
        <w:t xml:space="preserve"> </w:t>
      </w:r>
      <w:r w:rsidR="00B94348" w:rsidRPr="00B06DAB">
        <w:rPr>
          <w:bCs/>
        </w:rPr>
        <w:t>процента</w:t>
      </w:r>
      <w:r w:rsidR="004B04A7" w:rsidRPr="00B06DAB">
        <w:t>. Инвестиции в основной кап</w:t>
      </w:r>
      <w:r w:rsidR="004B04A7" w:rsidRPr="00B06DAB">
        <w:t>и</w:t>
      </w:r>
      <w:r w:rsidR="004B04A7" w:rsidRPr="00B06DAB">
        <w:t>тал снизятся в 2020 году на 11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</w:t>
      </w:r>
      <w:r w:rsidR="00BD7C03">
        <w:rPr>
          <w:bCs/>
        </w:rPr>
        <w:t xml:space="preserve">ов </w:t>
      </w:r>
      <w:r w:rsidR="004B04A7" w:rsidRPr="00B06DAB">
        <w:t>(после роста на 5,7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="004B04A7" w:rsidRPr="00B06DAB">
        <w:t xml:space="preserve"> в 2019 году). Спад промышленного производства составит 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</w:t>
      </w:r>
      <w:r w:rsidR="004B04A7" w:rsidRPr="00B06DAB">
        <w:t>.</w:t>
      </w:r>
    </w:p>
    <w:p w:rsidR="003C5249" w:rsidRPr="00B06DAB" w:rsidRDefault="0029447E" w:rsidP="00832BB4">
      <w:pPr>
        <w:tabs>
          <w:tab w:val="left" w:pos="851"/>
        </w:tabs>
        <w:ind w:firstLine="709"/>
        <w:contextualSpacing/>
        <w:jc w:val="both"/>
      </w:pPr>
      <w:r w:rsidRPr="00B06DAB">
        <w:t>В</w:t>
      </w:r>
      <w:r w:rsidR="00BA5EE9" w:rsidRPr="00B06DAB">
        <w:t>осстановительные процессы социально-экономического развития республики</w:t>
      </w:r>
      <w:r w:rsidR="00BF3C27" w:rsidRPr="00B06DAB">
        <w:t xml:space="preserve"> в прогнозируемом периоде о</w:t>
      </w:r>
      <w:r w:rsidRPr="00B06DAB">
        <w:t xml:space="preserve">кажут </w:t>
      </w:r>
      <w:r w:rsidR="00BF3C27" w:rsidRPr="00B06DAB">
        <w:t>положительн</w:t>
      </w:r>
      <w:r w:rsidRPr="00B06DAB">
        <w:t>ое</w:t>
      </w:r>
      <w:r w:rsidR="00BF3C27" w:rsidRPr="00B06DAB">
        <w:t xml:space="preserve"> </w:t>
      </w:r>
      <w:r w:rsidRPr="00B06DAB">
        <w:t>влияние на все отрасли экономики, что положительно скажется и на п</w:t>
      </w:r>
      <w:r w:rsidR="00BF3C27" w:rsidRPr="00B06DAB">
        <w:t>оказателя</w:t>
      </w:r>
      <w:r w:rsidRPr="00B06DAB">
        <w:t>х В</w:t>
      </w:r>
      <w:r w:rsidR="00AE7347">
        <w:t>Р</w:t>
      </w:r>
      <w:r w:rsidRPr="00B06DAB">
        <w:t>П</w:t>
      </w:r>
      <w:r w:rsidR="00AE7347">
        <w:t>: п</w:t>
      </w:r>
      <w:r w:rsidR="003C5249" w:rsidRPr="00B06DAB">
        <w:t>о прогнозу в 20</w:t>
      </w:r>
      <w:r w:rsidR="006A7EA0" w:rsidRPr="00B06DAB">
        <w:t>2</w:t>
      </w:r>
      <w:r w:rsidR="005F4991" w:rsidRPr="00B06DAB">
        <w:t>3</w:t>
      </w:r>
      <w:r w:rsidR="003C5249" w:rsidRPr="00B06DAB">
        <w:t xml:space="preserve"> году темп роста ВРП составит к 201</w:t>
      </w:r>
      <w:r w:rsidR="005F4991" w:rsidRPr="00B06DAB">
        <w:t>9</w:t>
      </w:r>
      <w:r w:rsidR="003C5249" w:rsidRPr="00B06DAB">
        <w:t xml:space="preserve"> г</w:t>
      </w:r>
      <w:r w:rsidR="00771F21" w:rsidRPr="00B06DAB">
        <w:t>оду</w:t>
      </w:r>
      <w:r w:rsidR="003C5249" w:rsidRPr="00B06DAB">
        <w:t xml:space="preserve"> </w:t>
      </w:r>
      <w:r w:rsidR="000D5FCA" w:rsidRPr="00B06DAB">
        <w:t xml:space="preserve">по </w:t>
      </w:r>
      <w:r w:rsidR="006A7EA0" w:rsidRPr="00B06DAB">
        <w:t>базовому</w:t>
      </w:r>
      <w:r w:rsidR="000D5FCA" w:rsidRPr="00B06DAB">
        <w:t xml:space="preserve"> варианту </w:t>
      </w:r>
      <w:r w:rsidR="00BF3C27" w:rsidRPr="00B06DAB">
        <w:t>1</w:t>
      </w:r>
      <w:r w:rsidR="005F4991" w:rsidRPr="00B06DAB">
        <w:t>06,3</w:t>
      </w:r>
      <w:r w:rsidR="00BD7C03" w:rsidRPr="00BD7C03">
        <w:t xml:space="preserve"> процента</w:t>
      </w:r>
      <w:r w:rsidR="003C5249" w:rsidRPr="00B06DAB">
        <w:t>.</w:t>
      </w:r>
    </w:p>
    <w:p w:rsidR="008F7003" w:rsidRDefault="008F7003" w:rsidP="00832BB4">
      <w:pPr>
        <w:ind w:firstLine="709"/>
        <w:jc w:val="both"/>
        <w:rPr>
          <w:bCs/>
          <w:highlight w:val="yellow"/>
        </w:rPr>
      </w:pPr>
    </w:p>
    <w:p w:rsidR="00BD7C03" w:rsidRDefault="00BD7C03" w:rsidP="00832BB4">
      <w:pPr>
        <w:ind w:firstLine="709"/>
        <w:jc w:val="both"/>
        <w:rPr>
          <w:bCs/>
          <w:highlight w:val="yellow"/>
        </w:rPr>
      </w:pPr>
    </w:p>
    <w:p w:rsidR="00BD7C03" w:rsidRPr="00B06DAB" w:rsidRDefault="00BD7C03" w:rsidP="00832BB4">
      <w:pPr>
        <w:ind w:firstLine="709"/>
        <w:jc w:val="both"/>
        <w:rPr>
          <w:bCs/>
          <w:highlight w:val="yellow"/>
        </w:rPr>
      </w:pPr>
    </w:p>
    <w:p w:rsidR="0072677F" w:rsidRPr="00B06DAB" w:rsidRDefault="0072677F" w:rsidP="00832BB4">
      <w:pPr>
        <w:pStyle w:val="a3"/>
        <w:jc w:val="center"/>
        <w:rPr>
          <w:b/>
          <w:bCs/>
          <w:snapToGrid w:val="0"/>
        </w:rPr>
      </w:pPr>
      <w:r w:rsidRPr="00B06DAB">
        <w:rPr>
          <w:b/>
          <w:bCs/>
          <w:snapToGrid w:val="0"/>
        </w:rPr>
        <w:lastRenderedPageBreak/>
        <w:t>Темпы роста валового регионального продукта</w:t>
      </w:r>
    </w:p>
    <w:p w:rsidR="0072677F" w:rsidRPr="00B06DAB" w:rsidRDefault="00E031E9" w:rsidP="00832BB4">
      <w:pPr>
        <w:pStyle w:val="a3"/>
        <w:jc w:val="center"/>
        <w:rPr>
          <w:bCs/>
          <w:snapToGrid w:val="0"/>
        </w:rPr>
      </w:pPr>
      <w:r w:rsidRPr="00B06DAB">
        <w:rPr>
          <w:bCs/>
          <w:snapToGrid w:val="0"/>
        </w:rPr>
        <w:t xml:space="preserve">в сопоставимых ценах </w:t>
      </w:r>
      <w:r w:rsidR="0072677F" w:rsidRPr="00B06DAB">
        <w:rPr>
          <w:bCs/>
          <w:snapToGrid w:val="0"/>
        </w:rPr>
        <w:t>(</w:t>
      </w:r>
      <w:proofErr w:type="gramStart"/>
      <w:r w:rsidR="0072677F" w:rsidRPr="00B06DAB">
        <w:rPr>
          <w:bCs/>
          <w:snapToGrid w:val="0"/>
        </w:rPr>
        <w:t>в</w:t>
      </w:r>
      <w:proofErr w:type="gramEnd"/>
      <w:r w:rsidR="0072677F" w:rsidRPr="00B06DAB">
        <w:rPr>
          <w:bCs/>
          <w:snapToGrid w:val="0"/>
        </w:rPr>
        <w:t xml:space="preserve"> % </w:t>
      </w:r>
      <w:proofErr w:type="gramStart"/>
      <w:r w:rsidR="0072677F" w:rsidRPr="00B06DAB">
        <w:rPr>
          <w:bCs/>
          <w:snapToGrid w:val="0"/>
        </w:rPr>
        <w:t>к</w:t>
      </w:r>
      <w:proofErr w:type="gramEnd"/>
      <w:r w:rsidR="0072677F" w:rsidRPr="00B06DAB">
        <w:rPr>
          <w:bCs/>
          <w:snapToGrid w:val="0"/>
        </w:rPr>
        <w:t xml:space="preserve"> предыдущему году)</w:t>
      </w:r>
    </w:p>
    <w:p w:rsidR="0072677F" w:rsidRPr="00C07A38" w:rsidRDefault="00BC11F8" w:rsidP="008268ED">
      <w:pPr>
        <w:jc w:val="center"/>
      </w:pPr>
      <w:r w:rsidRPr="00C07A38">
        <w:rPr>
          <w:noProof/>
          <w:color w:val="C00000"/>
        </w:rPr>
        <w:drawing>
          <wp:inline distT="0" distB="0" distL="0" distR="0" wp14:anchorId="7F5FA6BB" wp14:editId="138C4A79">
            <wp:extent cx="5592726" cy="2466753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278" w:rsidRPr="00B06DAB" w:rsidRDefault="001C4278" w:rsidP="008268ED">
      <w:pPr>
        <w:tabs>
          <w:tab w:val="left" w:pos="1134"/>
        </w:tabs>
        <w:ind w:right="-5" w:firstLine="720"/>
        <w:jc w:val="both"/>
      </w:pPr>
      <w:r w:rsidRPr="00B06DAB">
        <w:t>Важны</w:t>
      </w:r>
      <w:r w:rsidR="00D90BF6" w:rsidRPr="00B06DAB">
        <w:t>м</w:t>
      </w:r>
      <w:r w:rsidRPr="00B06DAB">
        <w:t xml:space="preserve"> фактором роста ВРП в 20</w:t>
      </w:r>
      <w:r w:rsidR="005F4991" w:rsidRPr="00B06DAB">
        <w:t>21</w:t>
      </w:r>
      <w:r w:rsidRPr="00B06DAB">
        <w:t>-202</w:t>
      </w:r>
      <w:r w:rsidR="005F4991" w:rsidRPr="00B06DAB">
        <w:t>3</w:t>
      </w:r>
      <w:r w:rsidRPr="00B06DAB">
        <w:t xml:space="preserve"> годах станет реализация крупных инв</w:t>
      </w:r>
      <w:r w:rsidRPr="00B06DAB">
        <w:t>е</w:t>
      </w:r>
      <w:r w:rsidRPr="00B06DAB">
        <w:t>стиционных проектов, и, как следствие, рост объема инвестиционных вложений в Чува</w:t>
      </w:r>
      <w:r w:rsidRPr="00B06DAB">
        <w:t>ш</w:t>
      </w:r>
      <w:r w:rsidRPr="00B06DAB">
        <w:t>ской Республике. Таким образом, прирост В</w:t>
      </w:r>
      <w:proofErr w:type="gramStart"/>
      <w:r w:rsidRPr="00B06DAB">
        <w:t>РП в ср</w:t>
      </w:r>
      <w:proofErr w:type="gramEnd"/>
      <w:r w:rsidRPr="00B06DAB">
        <w:t>еднесрочной перспективе будет обе</w:t>
      </w:r>
      <w:r w:rsidRPr="00B06DAB">
        <w:t>с</w:t>
      </w:r>
      <w:r w:rsidRPr="00B06DAB">
        <w:t>печен, прежде всего, реализацией проектов в сфере промышленности, ростом произво</w:t>
      </w:r>
      <w:r w:rsidRPr="00B06DAB">
        <w:t>д</w:t>
      </w:r>
      <w:r w:rsidRPr="00B06DAB">
        <w:t>ства в отдельных отраслях промышленности, стабильным ростом производства сельскох</w:t>
      </w:r>
      <w:r w:rsidRPr="00B06DAB">
        <w:t>о</w:t>
      </w:r>
      <w:r w:rsidRPr="00B06DAB">
        <w:t>зяйственной продукции,</w:t>
      </w:r>
      <w:r w:rsidR="008E75A9" w:rsidRPr="00B06DAB">
        <w:t xml:space="preserve"> объемов работ </w:t>
      </w:r>
      <w:r w:rsidR="00696976" w:rsidRPr="00B06DAB">
        <w:t xml:space="preserve">по виду деятельности </w:t>
      </w:r>
      <w:r w:rsidR="00CD5527" w:rsidRPr="00B06DAB">
        <w:t>«</w:t>
      </w:r>
      <w:r w:rsidR="00696976" w:rsidRPr="00B06DAB">
        <w:t>строительство</w:t>
      </w:r>
      <w:r w:rsidR="00CD5527" w:rsidRPr="00B06DAB">
        <w:t>»</w:t>
      </w:r>
      <w:r w:rsidR="00696976" w:rsidRPr="00B06DAB">
        <w:t>,</w:t>
      </w:r>
      <w:r w:rsidRPr="00B06DAB">
        <w:t xml:space="preserve"> полож</w:t>
      </w:r>
      <w:r w:rsidRPr="00B06DAB">
        <w:t>и</w:t>
      </w:r>
      <w:r w:rsidRPr="00B06DAB">
        <w:t xml:space="preserve">тельной динамикой темпов </w:t>
      </w:r>
      <w:r w:rsidR="00B80F36" w:rsidRPr="00B06DAB">
        <w:t>розничного товарооборота</w:t>
      </w:r>
      <w:r w:rsidRPr="00B06DAB">
        <w:t xml:space="preserve">. </w:t>
      </w:r>
    </w:p>
    <w:p w:rsidR="009A7B9E" w:rsidRPr="00B06DAB" w:rsidRDefault="009A7B9E" w:rsidP="005F4991">
      <w:pPr>
        <w:ind w:firstLine="708"/>
        <w:jc w:val="both"/>
      </w:pPr>
      <w:r w:rsidRPr="00B06DAB">
        <w:t>В среднесрочной перспективе будут реализованы инвестиционные проекты, введ</w:t>
      </w:r>
      <w:r w:rsidRPr="00B06DAB">
        <w:t>е</w:t>
      </w:r>
      <w:r w:rsidRPr="00B06DAB">
        <w:t>ны в действие новые участки, цеха, производства, которые позволят обеспечить заметный вклад в развитие экономики</w:t>
      </w:r>
      <w:r w:rsidR="00BD079F" w:rsidRPr="00B06DAB">
        <w:t>.</w:t>
      </w:r>
    </w:p>
    <w:p w:rsidR="008C6094" w:rsidRPr="00B06DAB" w:rsidRDefault="008C6094" w:rsidP="00832BB4">
      <w:pPr>
        <w:pStyle w:val="32"/>
        <w:spacing w:after="0"/>
        <w:jc w:val="center"/>
        <w:rPr>
          <w:sz w:val="24"/>
          <w:szCs w:val="24"/>
          <w:highlight w:val="yellow"/>
        </w:rPr>
      </w:pPr>
    </w:p>
    <w:p w:rsidR="00664826" w:rsidRPr="00B06DAB" w:rsidRDefault="00930FE0" w:rsidP="00664826">
      <w:pPr>
        <w:pStyle w:val="32"/>
        <w:spacing w:after="0"/>
        <w:jc w:val="center"/>
        <w:rPr>
          <w:b/>
          <w:sz w:val="24"/>
          <w:szCs w:val="24"/>
        </w:rPr>
      </w:pPr>
      <w:r w:rsidRPr="00B06DAB">
        <w:rPr>
          <w:b/>
          <w:sz w:val="24"/>
          <w:szCs w:val="24"/>
        </w:rPr>
        <w:t>3</w:t>
      </w:r>
      <w:r w:rsidR="00664826" w:rsidRPr="00B06DAB">
        <w:rPr>
          <w:b/>
          <w:sz w:val="24"/>
          <w:szCs w:val="24"/>
        </w:rPr>
        <w:t>. Промышленное производство</w:t>
      </w:r>
    </w:p>
    <w:p w:rsidR="00664826" w:rsidRPr="00B06DAB" w:rsidRDefault="00664826" w:rsidP="00664826">
      <w:pPr>
        <w:jc w:val="both"/>
        <w:rPr>
          <w:highlight w:val="yellow"/>
        </w:rPr>
      </w:pPr>
    </w:p>
    <w:p w:rsidR="00836C8D" w:rsidRPr="00B06DAB" w:rsidRDefault="00836C8D" w:rsidP="00836C8D">
      <w:pPr>
        <w:ind w:firstLine="709"/>
        <w:jc w:val="both"/>
      </w:pPr>
      <w:r w:rsidRPr="00B06DAB">
        <w:t>По оценке</w:t>
      </w:r>
      <w:r w:rsidR="002A3EDF">
        <w:t>,</w:t>
      </w:r>
      <w:r w:rsidRPr="00B06DAB">
        <w:t xml:space="preserve"> индекс промышленного производства в 2020 году составит 99</w:t>
      </w:r>
      <w:r w:rsidR="00BD7C03" w:rsidRPr="00BD7C03">
        <w:rPr>
          <w:bCs/>
        </w:rPr>
        <w:t xml:space="preserve"> </w:t>
      </w:r>
      <w:r w:rsidR="00BD7C03">
        <w:rPr>
          <w:bCs/>
        </w:rPr>
        <w:t>проце</w:t>
      </w:r>
      <w:r w:rsidR="00BD7C03">
        <w:rPr>
          <w:bCs/>
        </w:rPr>
        <w:t>н</w:t>
      </w:r>
      <w:r w:rsidR="00BD7C03">
        <w:rPr>
          <w:bCs/>
        </w:rPr>
        <w:t>тов</w:t>
      </w:r>
      <w:r w:rsidRPr="00B06DAB">
        <w:t xml:space="preserve">, в том числе по организациям обрабатывающих производств – </w:t>
      </w:r>
      <w:r w:rsidR="005D3CE4" w:rsidRPr="00B06DAB">
        <w:t>98,9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t>; обесп</w:t>
      </w:r>
      <w:r w:rsidRPr="00B06DAB">
        <w:t>е</w:t>
      </w:r>
      <w:r w:rsidRPr="00B06DAB">
        <w:t>чения электрической энергией, газом и паром; кондиционирования воздуха – 101,1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</w:t>
      </w:r>
      <w:r w:rsidR="00BD7C03" w:rsidRPr="00B06DAB">
        <w:rPr>
          <w:bCs/>
        </w:rPr>
        <w:t>о</w:t>
      </w:r>
      <w:r w:rsidR="00BD7C03" w:rsidRPr="00B06DAB">
        <w:rPr>
          <w:bCs/>
        </w:rPr>
        <w:t>цента</w:t>
      </w:r>
      <w:r w:rsidRPr="00B06DAB">
        <w:t xml:space="preserve">. </w:t>
      </w:r>
      <w:r w:rsidR="00BD7C03">
        <w:t xml:space="preserve"> </w:t>
      </w:r>
    </w:p>
    <w:p w:rsidR="00836C8D" w:rsidRPr="00B06DAB" w:rsidRDefault="00836C8D" w:rsidP="00836C8D">
      <w:pPr>
        <w:ind w:firstLine="709"/>
        <w:jc w:val="both"/>
      </w:pPr>
      <w:r w:rsidRPr="00B06DAB">
        <w:t>Прирост индекса промышленного производства по прогнозу в 2021 году по баз</w:t>
      </w:r>
      <w:r w:rsidRPr="00B06DAB">
        <w:t>о</w:t>
      </w:r>
      <w:r w:rsidRPr="00B06DAB">
        <w:t>вому варианту составит – 3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t>, в 2022 году – 4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t>, в 2023 году – 4,3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</w:t>
      </w:r>
      <w:r w:rsidR="00BD7C03" w:rsidRPr="00B06DAB">
        <w:rPr>
          <w:bCs/>
        </w:rPr>
        <w:t>н</w:t>
      </w:r>
      <w:r w:rsidR="00BD7C03" w:rsidRPr="00B06DAB">
        <w:rPr>
          <w:bCs/>
        </w:rPr>
        <w:t>та</w:t>
      </w:r>
      <w:r w:rsidRPr="00B06DAB">
        <w:t xml:space="preserve">. </w:t>
      </w:r>
    </w:p>
    <w:p w:rsidR="00664826" w:rsidRPr="00B06DAB" w:rsidRDefault="00836C8D" w:rsidP="00836C8D">
      <w:pPr>
        <w:ind w:firstLine="709"/>
        <w:jc w:val="both"/>
      </w:pPr>
      <w:r w:rsidRPr="00B06DAB">
        <w:t>Промышленным комплексом Чувашской Республики</w:t>
      </w:r>
      <w:r w:rsidR="002A3EDF">
        <w:t>,</w:t>
      </w:r>
      <w:r w:rsidRPr="00B06DAB">
        <w:t xml:space="preserve"> по оценке</w:t>
      </w:r>
      <w:r w:rsidR="002A3EDF">
        <w:t>,</w:t>
      </w:r>
      <w:r w:rsidRPr="00B06DAB">
        <w:t xml:space="preserve"> в 2020 году будет отгружено продукции собственного производства на сумму 248,0 млрд. рублей, в 2024 г</w:t>
      </w:r>
      <w:r w:rsidRPr="00B06DAB">
        <w:t>о</w:t>
      </w:r>
      <w:r w:rsidRPr="00B06DAB">
        <w:t>ду по базовому варианту – 310,0 млрд. рублей.</w:t>
      </w:r>
    </w:p>
    <w:p w:rsidR="00A1200C" w:rsidRDefault="00A1200C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Default="00BD7C03" w:rsidP="00836C8D">
      <w:pPr>
        <w:ind w:firstLine="709"/>
        <w:jc w:val="both"/>
      </w:pPr>
    </w:p>
    <w:p w:rsidR="00BD7C03" w:rsidRPr="00B06DAB" w:rsidRDefault="00BD7C03" w:rsidP="00836C8D">
      <w:pPr>
        <w:ind w:firstLine="709"/>
        <w:jc w:val="both"/>
      </w:pPr>
    </w:p>
    <w:p w:rsidR="00A1200C" w:rsidRPr="00B06DAB" w:rsidRDefault="00A1200C" w:rsidP="00A1200C">
      <w:pPr>
        <w:ind w:firstLine="709"/>
        <w:jc w:val="center"/>
        <w:rPr>
          <w:b/>
        </w:rPr>
      </w:pPr>
      <w:r w:rsidRPr="00B06DAB">
        <w:rPr>
          <w:b/>
        </w:rPr>
        <w:t xml:space="preserve">Прогноз объема отгруженной продукции  промышленным комплексом </w:t>
      </w:r>
    </w:p>
    <w:p w:rsidR="00A1200C" w:rsidRPr="00B06DAB" w:rsidRDefault="00A1200C" w:rsidP="00A1200C">
      <w:pPr>
        <w:ind w:firstLine="709"/>
        <w:jc w:val="center"/>
        <w:rPr>
          <w:b/>
          <w:highlight w:val="yellow"/>
        </w:rPr>
      </w:pPr>
      <w:r w:rsidRPr="00B06DAB">
        <w:rPr>
          <w:b/>
        </w:rPr>
        <w:t xml:space="preserve"> Чувашской Республики, млрд. рублей</w:t>
      </w:r>
    </w:p>
    <w:p w:rsidR="00664826" w:rsidRPr="00422F38" w:rsidRDefault="00664826" w:rsidP="00664826">
      <w:pPr>
        <w:jc w:val="center"/>
        <w:rPr>
          <w:highlight w:val="yellow"/>
        </w:rPr>
      </w:pPr>
      <w:r w:rsidRPr="00422F38">
        <w:rPr>
          <w:noProof/>
          <w:highlight w:val="yellow"/>
        </w:rPr>
        <w:drawing>
          <wp:inline distT="0" distB="0" distL="0" distR="0" wp14:anchorId="7306660C" wp14:editId="5785DD8F">
            <wp:extent cx="5422604" cy="2466754"/>
            <wp:effectExtent l="0" t="0" r="698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6C8D" w:rsidRPr="00B06DAB" w:rsidRDefault="00836C8D" w:rsidP="00836C8D">
      <w:pPr>
        <w:ind w:firstLine="709"/>
        <w:jc w:val="both"/>
      </w:pPr>
      <w:r w:rsidRPr="00B06DAB">
        <w:t>Ряд предприятий республики, обладая значительным инновационным потенци</w:t>
      </w:r>
      <w:r w:rsidRPr="00B06DAB">
        <w:t>а</w:t>
      </w:r>
      <w:r w:rsidRPr="00B06DAB">
        <w:t>лом, сохранят свой высокий статус</w:t>
      </w:r>
      <w:r w:rsidR="00AE7347">
        <w:t>:</w:t>
      </w:r>
      <w:r w:rsidRPr="00B06DAB">
        <w:t xml:space="preserve"> они способны в прогнозируемом периоде разрабат</w:t>
      </w:r>
      <w:r w:rsidRPr="00B06DAB">
        <w:t>ы</w:t>
      </w:r>
      <w:r w:rsidRPr="00B06DAB">
        <w:t>вать, модернизировать и серийно производить новейшую продукцию, внедрять новые технологические идеи для высокотехнологичных секторов экономики, как в Российской Федерации, так и в Чувашской Республике.</w:t>
      </w:r>
    </w:p>
    <w:p w:rsidR="00836C8D" w:rsidRPr="00B06DAB" w:rsidRDefault="00836C8D" w:rsidP="00836C8D">
      <w:pPr>
        <w:ind w:firstLine="709"/>
        <w:jc w:val="both"/>
      </w:pPr>
      <w:r w:rsidRPr="00B06DAB">
        <w:t>Всего в настоящее время промышленными предприятиями республики на разных этапах реализуется 88 инвестиционных проектов общим объемом инвестиций более 47,6</w:t>
      </w:r>
      <w:r w:rsidR="00940462">
        <w:t> </w:t>
      </w:r>
      <w:r w:rsidRPr="00B06DAB">
        <w:t xml:space="preserve">млрд. рублей. </w:t>
      </w:r>
    </w:p>
    <w:p w:rsidR="005D3CE4" w:rsidRPr="00B06DAB" w:rsidRDefault="00836C8D" w:rsidP="00836C8D">
      <w:pPr>
        <w:ind w:firstLine="709"/>
        <w:jc w:val="both"/>
      </w:pPr>
      <w:r w:rsidRPr="00B06DAB">
        <w:t xml:space="preserve">Среди наиболее крупных </w:t>
      </w:r>
      <w:r w:rsidR="005D3CE4" w:rsidRPr="00B06DAB">
        <w:t xml:space="preserve">инвестиционных проектов, реализуемых </w:t>
      </w:r>
      <w:r w:rsidRPr="00B06DAB">
        <w:t>для ведущих о</w:t>
      </w:r>
      <w:r w:rsidRPr="00B06DAB">
        <w:t>т</w:t>
      </w:r>
      <w:r w:rsidRPr="00B06DAB">
        <w:t>раслей промышленности республики</w:t>
      </w:r>
      <w:r w:rsidR="005D3CE4" w:rsidRPr="00B06DAB">
        <w:t>, следующие</w:t>
      </w:r>
      <w:r w:rsidRPr="00B06DAB">
        <w:t>:</w:t>
      </w:r>
    </w:p>
    <w:p w:rsidR="005D3CE4" w:rsidRPr="00B06DAB" w:rsidRDefault="005D3CE4" w:rsidP="00836C8D">
      <w:pPr>
        <w:ind w:firstLine="709"/>
        <w:jc w:val="both"/>
      </w:pPr>
      <w:r w:rsidRPr="00B06DAB">
        <w:t>с</w:t>
      </w:r>
      <w:r w:rsidR="00836C8D" w:rsidRPr="00B06DAB">
        <w:t xml:space="preserve">оздание производства тракторов малой и средней мощности </w:t>
      </w:r>
      <w:r w:rsidRPr="00B06DAB">
        <w:t>(</w:t>
      </w:r>
      <w:r w:rsidR="00836C8D" w:rsidRPr="00B06DAB">
        <w:t xml:space="preserve">от 60 до 180 </w:t>
      </w:r>
      <w:proofErr w:type="spellStart"/>
      <w:r w:rsidR="00836C8D" w:rsidRPr="00B06DAB">
        <w:t>л</w:t>
      </w:r>
      <w:proofErr w:type="gramStart"/>
      <w:r w:rsidR="00836C8D" w:rsidRPr="00B06DAB">
        <w:t>.с</w:t>
      </w:r>
      <w:proofErr w:type="spellEnd"/>
      <w:proofErr w:type="gramEnd"/>
      <w:r w:rsidRPr="00B06DAB">
        <w:t>)</w:t>
      </w:r>
      <w:r w:rsidR="00836C8D" w:rsidRPr="00B06DAB">
        <w:t>, в том числе через заключение специального инвестиционного контракта</w:t>
      </w:r>
      <w:r w:rsidR="002A3EDF">
        <w:t xml:space="preserve"> (далее – СПИК)</w:t>
      </w:r>
      <w:r w:rsidRPr="00B06DAB">
        <w:t>, ООО «МИГ «КТЗ»</w:t>
      </w:r>
      <w:r w:rsidR="00836C8D" w:rsidRPr="00B06DAB">
        <w:t>. Общий объем инвестиций – 2,0 млрд. рублей, период реализации – 2020-2030 г</w:t>
      </w:r>
      <w:r w:rsidR="002A3EDF">
        <w:t>оды</w:t>
      </w:r>
      <w:r w:rsidR="00836C8D" w:rsidRPr="00B06DAB">
        <w:t>, будет создано 500 новых рабочих мест</w:t>
      </w:r>
      <w:r w:rsidRPr="00B06DAB">
        <w:t>;</w:t>
      </w:r>
    </w:p>
    <w:p w:rsidR="001533D2" w:rsidRPr="00B06DAB" w:rsidRDefault="005D3CE4" w:rsidP="00836C8D">
      <w:pPr>
        <w:ind w:firstLine="709"/>
        <w:jc w:val="both"/>
      </w:pPr>
      <w:r w:rsidRPr="00B06DAB">
        <w:t>с</w:t>
      </w:r>
      <w:r w:rsidR="00836C8D" w:rsidRPr="00B06DAB">
        <w:t xml:space="preserve">троительство производства перекиси водорода мощностью 50 </w:t>
      </w:r>
      <w:r w:rsidR="001533D2" w:rsidRPr="00B06DAB">
        <w:t>тыс.</w:t>
      </w:r>
      <w:r w:rsidR="00836C8D" w:rsidRPr="00B06DAB">
        <w:t xml:space="preserve"> тонн в год на существующей площадке</w:t>
      </w:r>
      <w:r w:rsidR="001533D2" w:rsidRPr="00B06DAB">
        <w:t>,</w:t>
      </w:r>
      <w:r w:rsidR="00836C8D" w:rsidRPr="00B06DAB">
        <w:t xml:space="preserve"> ПАО «Химпром». Общий объем инвестиций – 5,9 млрд. рублей, период реализации – 2020-2022 г</w:t>
      </w:r>
      <w:r w:rsidR="002A3EDF">
        <w:t>оды</w:t>
      </w:r>
      <w:r w:rsidR="00836C8D" w:rsidRPr="00B06DAB">
        <w:t>, планируется создание 110 новых рабочих мест</w:t>
      </w:r>
      <w:r w:rsidR="001533D2" w:rsidRPr="00B06DAB">
        <w:t>;</w:t>
      </w:r>
    </w:p>
    <w:p w:rsidR="00836C8D" w:rsidRPr="00B06DAB" w:rsidRDefault="001533D2" w:rsidP="00836C8D">
      <w:pPr>
        <w:ind w:firstLine="709"/>
        <w:jc w:val="both"/>
      </w:pPr>
      <w:r w:rsidRPr="00B06DAB">
        <w:t>р</w:t>
      </w:r>
      <w:r w:rsidR="00836C8D" w:rsidRPr="00B06DAB">
        <w:t xml:space="preserve">азработка отказоустойчивых </w:t>
      </w:r>
      <w:proofErr w:type="spellStart"/>
      <w:r w:rsidR="00836C8D" w:rsidRPr="00B06DAB">
        <w:t>мультиагентных</w:t>
      </w:r>
      <w:proofErr w:type="spellEnd"/>
      <w:r w:rsidR="00836C8D" w:rsidRPr="00B06DAB">
        <w:t xml:space="preserve"> автоматизированных систем упра</w:t>
      </w:r>
      <w:r w:rsidR="00836C8D" w:rsidRPr="00B06DAB">
        <w:t>в</w:t>
      </w:r>
      <w:r w:rsidR="00836C8D" w:rsidRPr="00B06DAB">
        <w:t>ления технологическим процессом, АО «ЭЛАРА». Общий объем инвестиций – 350,0 млн. рублей, период реализации – 2018-2024 г</w:t>
      </w:r>
      <w:r w:rsidR="002A3EDF">
        <w:t>оды</w:t>
      </w:r>
      <w:r w:rsidR="00836C8D" w:rsidRPr="00B06DAB">
        <w:t>, планируется создание 60 новых рабочих мест.</w:t>
      </w:r>
    </w:p>
    <w:p w:rsidR="00836C8D" w:rsidRPr="00B06DAB" w:rsidRDefault="00836C8D" w:rsidP="00836C8D">
      <w:pPr>
        <w:ind w:firstLine="709"/>
        <w:jc w:val="both"/>
      </w:pPr>
      <w:r w:rsidRPr="00B06DAB">
        <w:t>В целях улучшения инвестиционного климата в Чувашской Республике для реал</w:t>
      </w:r>
      <w:r w:rsidRPr="00B06DAB">
        <w:t>и</w:t>
      </w:r>
      <w:r w:rsidRPr="00B06DAB">
        <w:t>зации крупных инвестиционных проектов проводится работа по активизации следующих направлений поддержки инвестиционной деятельности:</w:t>
      </w:r>
    </w:p>
    <w:p w:rsidR="00836C8D" w:rsidRPr="00B06DAB" w:rsidRDefault="00836C8D" w:rsidP="00836C8D">
      <w:pPr>
        <w:ind w:firstLine="709"/>
        <w:jc w:val="both"/>
      </w:pPr>
      <w:proofErr w:type="gramStart"/>
      <w:r w:rsidRPr="00B06DAB">
        <w:t>защита инвесторов и содействие заключению долгосрочных контрактов путем з</w:t>
      </w:r>
      <w:r w:rsidRPr="00B06DAB">
        <w:t>а</w:t>
      </w:r>
      <w:r w:rsidRPr="00B06DAB">
        <w:t xml:space="preserve">ключения специальных инвестиционных контрактов </w:t>
      </w:r>
      <w:r w:rsidR="001533D2" w:rsidRPr="00B06DAB">
        <w:t>(</w:t>
      </w:r>
      <w:r w:rsidRPr="00B06DAB">
        <w:t>снижены ставки налогов: на пр</w:t>
      </w:r>
      <w:r w:rsidRPr="00B06DAB">
        <w:t>и</w:t>
      </w:r>
      <w:r w:rsidRPr="00B06DAB">
        <w:t>быль организаций до 0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</w:t>
      </w:r>
      <w:r w:rsidR="00BD7C03">
        <w:rPr>
          <w:bCs/>
        </w:rPr>
        <w:t>ов</w:t>
      </w:r>
      <w:r w:rsidRPr="00B06DAB">
        <w:t xml:space="preserve"> и на имущество организаций до 0,1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t>.</w:t>
      </w:r>
      <w:proofErr w:type="gramEnd"/>
      <w:r w:rsidRPr="00B06DAB">
        <w:t xml:space="preserve"> Госуда</w:t>
      </w:r>
      <w:r w:rsidRPr="00B06DAB">
        <w:t>р</w:t>
      </w:r>
      <w:r w:rsidRPr="00B06DAB">
        <w:t>ственным Советом Чувашской Республики принят Закон Чувашской Республики о не ухудшении условий для инвестора, реализующего СПИК);</w:t>
      </w:r>
    </w:p>
    <w:p w:rsidR="00836C8D" w:rsidRPr="00B06DAB" w:rsidRDefault="00836C8D" w:rsidP="00836C8D">
      <w:pPr>
        <w:ind w:firstLine="709"/>
        <w:jc w:val="both"/>
      </w:pPr>
      <w:proofErr w:type="gramStart"/>
      <w:r w:rsidRPr="00B06DAB">
        <w:t>создание единого института развития промышленности на базе ПАО «Корпорация развития Чувашской Республики» и АУ «Фонд развития промышленности и инвестиц</w:t>
      </w:r>
      <w:r w:rsidRPr="00B06DAB">
        <w:t>и</w:t>
      </w:r>
      <w:r w:rsidRPr="00B06DAB">
        <w:t>онной деятельности в Чувашской Республике» Минпромэнерго Чувашии, который будет предоставлять услуги по принципу «одного окна», осуществлять льготное заемное фина</w:t>
      </w:r>
      <w:r w:rsidRPr="00B06DAB">
        <w:t>н</w:t>
      </w:r>
      <w:r w:rsidRPr="00B06DAB">
        <w:t xml:space="preserve">сирование инвестиционных проектов по ставкам от 1 до 3 </w:t>
      </w:r>
      <w:r w:rsidR="00BD7C03">
        <w:t>процентов</w:t>
      </w:r>
      <w:r w:rsidRPr="00B06DAB">
        <w:t>, заниматься подб</w:t>
      </w:r>
      <w:r w:rsidRPr="00B06DAB">
        <w:t>о</w:t>
      </w:r>
      <w:r w:rsidRPr="00B06DAB">
        <w:t xml:space="preserve">ром земельных участков и развитием промышленной инфраструктуры; </w:t>
      </w:r>
      <w:proofErr w:type="gramEnd"/>
    </w:p>
    <w:p w:rsidR="00836C8D" w:rsidRPr="00B06DAB" w:rsidRDefault="00836C8D" w:rsidP="00836C8D">
      <w:pPr>
        <w:ind w:firstLine="709"/>
        <w:jc w:val="both"/>
      </w:pPr>
      <w:r w:rsidRPr="00B06DAB">
        <w:t>формирование предложений по внесению изменений в существующие формы ок</w:t>
      </w:r>
      <w:r w:rsidRPr="00B06DAB">
        <w:t>а</w:t>
      </w:r>
      <w:r w:rsidRPr="00B06DAB">
        <w:t>зания государственной поддержки на основе предложений промышленных предприятий Чувашской Республики;</w:t>
      </w:r>
    </w:p>
    <w:p w:rsidR="00836C8D" w:rsidRPr="00B06DAB" w:rsidRDefault="00836C8D" w:rsidP="00836C8D">
      <w:pPr>
        <w:ind w:firstLine="709"/>
        <w:jc w:val="both"/>
      </w:pPr>
      <w:r w:rsidRPr="00B06DAB">
        <w:t>оказание содействия в расширении взаимодействий со «стратегическими партн</w:t>
      </w:r>
      <w:r w:rsidRPr="00B06DAB">
        <w:t>е</w:t>
      </w:r>
      <w:r w:rsidRPr="00B06DAB">
        <w:t>рами» путем проведения встреч, совещаний и иных отраслевых мероприятий;</w:t>
      </w:r>
    </w:p>
    <w:p w:rsidR="00836C8D" w:rsidRPr="00B06DAB" w:rsidRDefault="00836C8D" w:rsidP="00836C8D">
      <w:pPr>
        <w:ind w:firstLine="709"/>
        <w:jc w:val="both"/>
      </w:pPr>
      <w:r w:rsidRPr="00B06DAB">
        <w:t>проведение организационных мероприятий по развитию кооперационных связей и организации взаимовыгодного сотрудничества хозяйствующих субъектов регионов Ро</w:t>
      </w:r>
      <w:r w:rsidRPr="00B06DAB">
        <w:t>с</w:t>
      </w:r>
      <w:r w:rsidRPr="00B06DAB">
        <w:t>сийской Федерации;</w:t>
      </w:r>
    </w:p>
    <w:p w:rsidR="00836C8D" w:rsidRPr="00B06DAB" w:rsidRDefault="00836C8D" w:rsidP="00836C8D">
      <w:pPr>
        <w:ind w:firstLine="709"/>
        <w:jc w:val="both"/>
      </w:pPr>
      <w:r w:rsidRPr="00B06DAB">
        <w:t>возобновление проведения специализированных выставок (например, «РЕЛАВ-Экспо»), презентаций, визитов</w:t>
      </w:r>
      <w:r w:rsidR="002A3EDF">
        <w:t xml:space="preserve">, </w:t>
      </w:r>
      <w:r w:rsidRPr="00B06DAB">
        <w:t>активное участие промышленных предприятий республ</w:t>
      </w:r>
      <w:r w:rsidRPr="00B06DAB">
        <w:t>и</w:t>
      </w:r>
      <w:r w:rsidRPr="00B06DAB">
        <w:t>ки в них.</w:t>
      </w:r>
    </w:p>
    <w:p w:rsidR="00836C8D" w:rsidRPr="00B06DAB" w:rsidRDefault="00836C8D" w:rsidP="00836C8D">
      <w:pPr>
        <w:ind w:firstLine="709"/>
        <w:jc w:val="both"/>
      </w:pPr>
      <w:r w:rsidRPr="00B06DAB">
        <w:t>В среднесрочной перспективе на положительную динамику основных экономич</w:t>
      </w:r>
      <w:r w:rsidRPr="00B06DAB">
        <w:t>е</w:t>
      </w:r>
      <w:r w:rsidRPr="00B06DAB">
        <w:t>ских показателей окажет предоставление льготных займов АУ ЧР «Фонд развития пр</w:t>
      </w:r>
      <w:r w:rsidRPr="00B06DAB">
        <w:t>о</w:t>
      </w:r>
      <w:r w:rsidRPr="00B06DAB">
        <w:t xml:space="preserve">мышленности и инвестиционной деятельности в Чувашской Республике» Минпромэнерго Чувашии. </w:t>
      </w:r>
      <w:proofErr w:type="gramStart"/>
      <w:r w:rsidRPr="00B06DAB">
        <w:t>В настоящее время на рассмотрении Фонда находятся 4 заявки на получение льготных займов общим размером 1,5 млрд. рублей на реализацию крупных инвестицио</w:t>
      </w:r>
      <w:r w:rsidRPr="00B06DAB">
        <w:t>н</w:t>
      </w:r>
      <w:r w:rsidRPr="00B06DAB">
        <w:t>ных проектов, общим бюджетом около 3,0 млрд. рублей, нацеленных на организацию производства модельного ряда гусеничных тракторов (ООО «ПК «</w:t>
      </w:r>
      <w:proofErr w:type="spellStart"/>
      <w:r w:rsidRPr="00B06DAB">
        <w:t>Промтрактор</w:t>
      </w:r>
      <w:proofErr w:type="spellEnd"/>
      <w:r w:rsidRPr="00B06DAB">
        <w:t>»), кру</w:t>
      </w:r>
      <w:r w:rsidRPr="00B06DAB">
        <w:t>п</w:t>
      </w:r>
      <w:r w:rsidRPr="00B06DAB">
        <w:t>ного вагонного литья для создания инновационных вагонов (ООО «</w:t>
      </w:r>
      <w:proofErr w:type="spellStart"/>
      <w:r w:rsidRPr="00B06DAB">
        <w:t>Промлит</w:t>
      </w:r>
      <w:proofErr w:type="spellEnd"/>
      <w:r w:rsidRPr="00B06DAB">
        <w:t>»), обуви из полиуретана (АО «ЧПО им. В.И. Чапаева») и органических гранулированных</w:t>
      </w:r>
      <w:proofErr w:type="gramEnd"/>
      <w:r w:rsidRPr="00B06DAB">
        <w:t xml:space="preserve"> удобрений (ООО «Завод органических удобрений»).</w:t>
      </w:r>
    </w:p>
    <w:p w:rsidR="00EB79DD" w:rsidRPr="00B06DAB" w:rsidRDefault="00836C8D" w:rsidP="00836C8D">
      <w:pPr>
        <w:ind w:firstLine="709"/>
        <w:jc w:val="both"/>
      </w:pPr>
      <w:r w:rsidRPr="00B06DAB">
        <w:t>Важным фактором, влияющим на экономический рост на среднесрочный период, станет реализация региональных проектов в рамках национального проекта «Производ</w:t>
      </w:r>
      <w:r w:rsidRPr="00B06DAB">
        <w:t>и</w:t>
      </w:r>
      <w:r w:rsidRPr="00B06DAB">
        <w:t>тельность труда и поддержка занятости», это позволит вовлечь к 2024 году в выполнение мероприятий не менее 60 предприятий и обеспечить на них ежегодный прирост произв</w:t>
      </w:r>
      <w:r w:rsidRPr="00B06DAB">
        <w:t>о</w:t>
      </w:r>
      <w:r w:rsidRPr="00B06DAB">
        <w:t>дительности труда не менее 5</w:t>
      </w:r>
      <w:r w:rsidR="00BD7C03" w:rsidRPr="00BD7C03">
        <w:rPr>
          <w:bCs/>
        </w:rPr>
        <w:t xml:space="preserve"> </w:t>
      </w:r>
      <w:r w:rsidR="00BD7C03">
        <w:rPr>
          <w:bCs/>
        </w:rPr>
        <w:t>процентов</w:t>
      </w:r>
      <w:r w:rsidRPr="00B06DAB">
        <w:t>.</w:t>
      </w:r>
    </w:p>
    <w:p w:rsidR="00836C8D" w:rsidRPr="00B06DAB" w:rsidRDefault="00836C8D" w:rsidP="00836C8D">
      <w:pPr>
        <w:ind w:firstLine="709"/>
        <w:jc w:val="both"/>
        <w:rPr>
          <w:b/>
          <w:highlight w:val="yellow"/>
        </w:rPr>
      </w:pPr>
    </w:p>
    <w:p w:rsidR="00EB79DD" w:rsidRPr="00B06DAB" w:rsidRDefault="00930FE0" w:rsidP="00832BB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06DAB">
        <w:rPr>
          <w:rFonts w:ascii="Times New Roman" w:hAnsi="Times New Roman" w:cs="Times New Roman"/>
          <w:bCs w:val="0"/>
          <w:sz w:val="24"/>
          <w:szCs w:val="24"/>
        </w:rPr>
        <w:t>4</w:t>
      </w:r>
      <w:r w:rsidR="00EB79DD" w:rsidRPr="00B06DAB">
        <w:rPr>
          <w:rFonts w:ascii="Times New Roman" w:hAnsi="Times New Roman" w:cs="Times New Roman"/>
          <w:bCs w:val="0"/>
          <w:sz w:val="24"/>
          <w:szCs w:val="24"/>
        </w:rPr>
        <w:t>. Сельское хозяйство</w:t>
      </w:r>
    </w:p>
    <w:p w:rsidR="00EB79DD" w:rsidRPr="00B06DAB" w:rsidRDefault="00EB79DD" w:rsidP="00832BB4">
      <w:pPr>
        <w:rPr>
          <w:highlight w:val="yellow"/>
        </w:rPr>
      </w:pP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Показатели прогноза развития сельского хозяйства определены исходя из реализ</w:t>
      </w:r>
      <w:r w:rsidRPr="00B06DAB">
        <w:t>а</w:t>
      </w:r>
      <w:r w:rsidRPr="00B06DAB">
        <w:t>ции мероприятий, предусмотренных Стратегией социально-экономического развития Ч</w:t>
      </w:r>
      <w:r w:rsidRPr="00B06DAB">
        <w:t>у</w:t>
      </w:r>
      <w:r w:rsidRPr="00B06DAB">
        <w:t>вашской Республики до 2035 года, утвержденной постановлением Кабинета Министров Чувашской Республики от 28 июня 2018 г. № 254.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В среднесрочной перспективе ключевыми факторами, оказывающими воздействие на прогнозируемую динамику развития сельского хозяйства, являются агрометеоролог</w:t>
      </w:r>
      <w:r w:rsidRPr="00B06DAB">
        <w:t>и</w:t>
      </w:r>
      <w:r w:rsidRPr="00B06DAB">
        <w:t>ческие условия, макроэкономическая ситуация на внешнем и внутреннем рынках. Средн</w:t>
      </w:r>
      <w:r w:rsidRPr="00B06DAB">
        <w:t>е</w:t>
      </w:r>
      <w:r w:rsidRPr="00B06DAB">
        <w:t>срочная динамика развития агропромышленного комплекса будет по-прежнему зависеть от природно-климатических условий, объемов государственной поддержки, внутренней и мировой конъюнктуры рынков.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 xml:space="preserve">Объем продукции сельского хозяйства в хозяйствах всех категорий, по оценке, в 2020 году составит 43,6 млрд. рублей, или 101,3 процента в сопоставимых ценах к уровню 2019 года. 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proofErr w:type="gramStart"/>
      <w:r w:rsidRPr="00B06DAB">
        <w:t>В прогнозируемом периоде предусмотрена реализация 179 инвестиционных прое</w:t>
      </w:r>
      <w:r w:rsidRPr="00B06DAB">
        <w:t>к</w:t>
      </w:r>
      <w:r w:rsidRPr="00B06DAB">
        <w:t>тов (из них по строительству (реконструкции), модернизации производственных объектов – 73 проектов) на сумму 5,5 млрд. рублей с созданием 553 рабочих мест, среди них стро</w:t>
      </w:r>
      <w:r w:rsidRPr="00B06DAB">
        <w:t>и</w:t>
      </w:r>
      <w:r w:rsidRPr="00B06DAB">
        <w:t>тельство коровника на 600 коров (ООО «</w:t>
      </w:r>
      <w:proofErr w:type="spellStart"/>
      <w:r w:rsidRPr="00B06DAB">
        <w:t>ЧебоМилк</w:t>
      </w:r>
      <w:proofErr w:type="spellEnd"/>
      <w:r w:rsidRPr="00B06DAB">
        <w:t>»), строительство коровника на 600 г</w:t>
      </w:r>
      <w:r w:rsidRPr="00B06DAB">
        <w:t>о</w:t>
      </w:r>
      <w:r w:rsidRPr="00B06DAB">
        <w:t xml:space="preserve">лов (СХПК «Коминтерн»), строительство родильного отделения </w:t>
      </w:r>
      <w:r w:rsidR="002A3EDF">
        <w:t>крупного рогатого скот</w:t>
      </w:r>
      <w:r w:rsidR="001024ED">
        <w:t xml:space="preserve"> </w:t>
      </w:r>
      <w:r w:rsidRPr="00B06DAB">
        <w:t>на 400 голов (АО «</w:t>
      </w:r>
      <w:proofErr w:type="spellStart"/>
      <w:r w:rsidRPr="00B06DAB">
        <w:t>Вурнарский</w:t>
      </w:r>
      <w:proofErr w:type="spellEnd"/>
      <w:r w:rsidRPr="00B06DAB">
        <w:t xml:space="preserve"> мясокомбинат»), строительство элеваторного комплекса на</w:t>
      </w:r>
      <w:proofErr w:type="gramEnd"/>
      <w:r w:rsidRPr="00B06DAB">
        <w:t xml:space="preserve"> 15000 тонн зерна (ООО Агрофирма «Пионер») и др.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Основными приоритетными направлениями развития агропромышленного ко</w:t>
      </w:r>
      <w:r w:rsidRPr="00B06DAB">
        <w:t>м</w:t>
      </w:r>
      <w:r w:rsidRPr="00B06DAB">
        <w:t>плекса будут: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развитие импортозамещающих произво</w:t>
      </w:r>
      <w:proofErr w:type="gramStart"/>
      <w:r w:rsidRPr="00B06DAB">
        <w:t>дств в с</w:t>
      </w:r>
      <w:proofErr w:type="gramEnd"/>
      <w:r w:rsidRPr="00B06DAB">
        <w:t>ельском хозяйстве, включая овощ</w:t>
      </w:r>
      <w:r w:rsidRPr="00B06DAB">
        <w:t>е</w:t>
      </w:r>
      <w:r w:rsidRPr="00B06DAB">
        <w:t>водство, плодоводство, садоводство и хмелеводство, на основе ресурсосберегающих зе</w:t>
      </w:r>
      <w:r w:rsidRPr="00B06DAB">
        <w:t>м</w:t>
      </w:r>
      <w:r w:rsidRPr="00B06DAB">
        <w:t>ледельческих технологий и использования высокопродуктивного посевного материала;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возделывание новых культур, способных повысить эффективность сельскохозя</w:t>
      </w:r>
      <w:r w:rsidRPr="00B06DAB">
        <w:t>й</w:t>
      </w:r>
      <w:r w:rsidRPr="00B06DAB">
        <w:t>ственного производства;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повышение молочной продуктивности крупного рогатого скота за счет реализации комплекса мер по оптимизации условий кормления и содержания скота, укрепления мат</w:t>
      </w:r>
      <w:r w:rsidRPr="00B06DAB">
        <w:t>е</w:t>
      </w:r>
      <w:r w:rsidRPr="00B06DAB">
        <w:t>риально-технической оснащенности, применения прогрессивных методов селекции скота, улучшения кормовой базы;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экологически регламентированное использование в сельскохозяйственном прои</w:t>
      </w:r>
      <w:r w:rsidRPr="00B06DAB">
        <w:t>з</w:t>
      </w:r>
      <w:r w:rsidRPr="00B06DAB">
        <w:t>водстве земельных, водных и других возобновляемых природных ресурсов, а также п</w:t>
      </w:r>
      <w:r w:rsidRPr="00B06DAB">
        <w:t>о</w:t>
      </w:r>
      <w:r w:rsidRPr="00B06DAB">
        <w:t>вышение плодородия почв до оптимального уровня;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развитие науки и инновационной деятельности, модернизация материально-технической и технологической базы агропромышленного комплекса, развитие селекции и семеноводства;</w:t>
      </w:r>
    </w:p>
    <w:p w:rsidR="00A64E39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строительство новых, реконструкция и модернизация действующих хранилищ зе</w:t>
      </w:r>
      <w:r w:rsidRPr="00B06DAB">
        <w:t>р</w:t>
      </w:r>
      <w:r w:rsidRPr="00B06DAB">
        <w:t>на, картофеля, овощей и фруктов на основе инновационных технологий и современного оборудования, оснащение их технологическим и холодильным оборудованием;</w:t>
      </w:r>
    </w:p>
    <w:p w:rsidR="00F73EEA" w:rsidRPr="00B06DAB" w:rsidRDefault="00A64E39" w:rsidP="00A64E39">
      <w:pPr>
        <w:autoSpaceDE w:val="0"/>
        <w:autoSpaceDN w:val="0"/>
        <w:adjustRightInd w:val="0"/>
        <w:ind w:firstLine="709"/>
        <w:jc w:val="both"/>
      </w:pPr>
      <w:r w:rsidRPr="00B06DAB">
        <w:t>техническая и технологическая модернизация сельскохозяйственного производства (приобретение техники и оборудования), техническое перевооружение в рамках приор</w:t>
      </w:r>
      <w:r w:rsidRPr="00B06DAB">
        <w:t>и</w:t>
      </w:r>
      <w:r w:rsidRPr="00B06DAB">
        <w:t xml:space="preserve">тетных </w:t>
      </w:r>
      <w:proofErr w:type="spellStart"/>
      <w:r w:rsidRPr="00B06DAB">
        <w:t>подотраслей</w:t>
      </w:r>
      <w:proofErr w:type="spellEnd"/>
      <w:r w:rsidRPr="00B06DAB">
        <w:t xml:space="preserve"> АПК.</w:t>
      </w:r>
    </w:p>
    <w:p w:rsidR="00A64E39" w:rsidRPr="005A00BB" w:rsidRDefault="00A64E39" w:rsidP="00A64E39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B0322B" w:rsidRPr="00B06DAB" w:rsidRDefault="00F73EEA" w:rsidP="00832BB4">
      <w:pPr>
        <w:pStyle w:val="a3"/>
        <w:ind w:firstLine="0"/>
        <w:jc w:val="center"/>
        <w:rPr>
          <w:b/>
          <w:bCs/>
          <w:snapToGrid w:val="0"/>
        </w:rPr>
      </w:pPr>
      <w:r w:rsidRPr="00B06DAB">
        <w:rPr>
          <w:b/>
          <w:bCs/>
          <w:snapToGrid w:val="0"/>
        </w:rPr>
        <w:t xml:space="preserve">Темпы роста </w:t>
      </w:r>
      <w:r w:rsidR="00B0322B" w:rsidRPr="00B06DAB">
        <w:rPr>
          <w:b/>
          <w:bCs/>
          <w:snapToGrid w:val="0"/>
        </w:rPr>
        <w:t xml:space="preserve">производства </w:t>
      </w:r>
      <w:r w:rsidRPr="00B06DAB">
        <w:rPr>
          <w:b/>
          <w:bCs/>
          <w:snapToGrid w:val="0"/>
        </w:rPr>
        <w:t>продукции сел</w:t>
      </w:r>
      <w:r w:rsidR="00B0322B" w:rsidRPr="00B06DAB">
        <w:rPr>
          <w:b/>
          <w:bCs/>
          <w:snapToGrid w:val="0"/>
        </w:rPr>
        <w:t>ь</w:t>
      </w:r>
      <w:r w:rsidRPr="00B06DAB">
        <w:rPr>
          <w:b/>
          <w:bCs/>
          <w:snapToGrid w:val="0"/>
        </w:rPr>
        <w:t>ского хозяйства</w:t>
      </w:r>
      <w:r w:rsidR="0091723A" w:rsidRPr="00B06DAB">
        <w:rPr>
          <w:b/>
          <w:bCs/>
          <w:snapToGrid w:val="0"/>
        </w:rPr>
        <w:t>,</w:t>
      </w:r>
    </w:p>
    <w:p w:rsidR="00F73EEA" w:rsidRPr="00B06DAB" w:rsidRDefault="00F73EEA" w:rsidP="00832BB4">
      <w:pPr>
        <w:pStyle w:val="a3"/>
        <w:ind w:firstLine="0"/>
        <w:jc w:val="center"/>
      </w:pPr>
      <w:r w:rsidRPr="00B06DAB">
        <w:rPr>
          <w:bCs/>
          <w:snapToGrid w:val="0"/>
        </w:rPr>
        <w:t>в сопоставимых ценах</w:t>
      </w:r>
      <w:r w:rsidR="00B0322B" w:rsidRPr="00B06DAB">
        <w:rPr>
          <w:b/>
          <w:bCs/>
          <w:snapToGrid w:val="0"/>
        </w:rPr>
        <w:t xml:space="preserve"> </w:t>
      </w:r>
      <w:r w:rsidR="0091723A" w:rsidRPr="001024ED">
        <w:rPr>
          <w:bCs/>
          <w:snapToGrid w:val="0"/>
        </w:rPr>
        <w:t>(</w:t>
      </w:r>
      <w:proofErr w:type="gramStart"/>
      <w:r w:rsidRPr="00B06DAB">
        <w:rPr>
          <w:bCs/>
          <w:snapToGrid w:val="0"/>
        </w:rPr>
        <w:t>в</w:t>
      </w:r>
      <w:proofErr w:type="gramEnd"/>
      <w:r w:rsidRPr="00B06DAB">
        <w:rPr>
          <w:bCs/>
          <w:snapToGrid w:val="0"/>
        </w:rPr>
        <w:t xml:space="preserve"> % </w:t>
      </w:r>
      <w:proofErr w:type="gramStart"/>
      <w:r w:rsidRPr="00B06DAB">
        <w:rPr>
          <w:bCs/>
          <w:snapToGrid w:val="0"/>
        </w:rPr>
        <w:t>к</w:t>
      </w:r>
      <w:proofErr w:type="gramEnd"/>
      <w:r w:rsidRPr="00B06DAB">
        <w:rPr>
          <w:bCs/>
          <w:snapToGrid w:val="0"/>
        </w:rPr>
        <w:t xml:space="preserve"> предыдущему году)</w:t>
      </w:r>
    </w:p>
    <w:p w:rsidR="00F73EEA" w:rsidRPr="00422F38" w:rsidRDefault="00F73EEA" w:rsidP="00832BB4">
      <w:pPr>
        <w:autoSpaceDE w:val="0"/>
        <w:autoSpaceDN w:val="0"/>
        <w:adjustRightInd w:val="0"/>
        <w:jc w:val="center"/>
        <w:rPr>
          <w:highlight w:val="yellow"/>
        </w:rPr>
      </w:pPr>
      <w:r w:rsidRPr="00A64E39">
        <w:rPr>
          <w:noProof/>
          <w:color w:val="C00000"/>
        </w:rPr>
        <w:drawing>
          <wp:inline distT="0" distB="0" distL="0" distR="0" wp14:anchorId="1B9887ED" wp14:editId="45A347AB">
            <wp:extent cx="5375082" cy="2488758"/>
            <wp:effectExtent l="0" t="0" r="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A6FE9" w:rsidRPr="00B06DAB" w:rsidRDefault="00A64E39" w:rsidP="00832BB4">
      <w:pPr>
        <w:ind w:firstLine="709"/>
        <w:jc w:val="both"/>
      </w:pPr>
      <w:r w:rsidRPr="00B06DAB">
        <w:t>В 2021 году объем производства продукции сельского хозяйства в хозяйствах всех категорий по базовому варианту составит 46,6 млрд. рублей или 103 процента в сопост</w:t>
      </w:r>
      <w:r w:rsidRPr="00B06DAB">
        <w:t>а</w:t>
      </w:r>
      <w:r w:rsidRPr="00B06DAB">
        <w:t>вимых ценах к предыдущему году, в 2022 году – 49,6 млрд. рублей или 103,2 процента, в 2023 году – 52,6 млрд. рублей или 103,6 процента.</w:t>
      </w:r>
    </w:p>
    <w:p w:rsidR="0001608A" w:rsidRPr="00B06DAB" w:rsidRDefault="0001608A" w:rsidP="00832BB4">
      <w:pPr>
        <w:ind w:firstLine="709"/>
        <w:jc w:val="both"/>
        <w:rPr>
          <w:highlight w:val="yellow"/>
        </w:rPr>
      </w:pPr>
    </w:p>
    <w:p w:rsidR="00B57311" w:rsidRPr="00B06DAB" w:rsidRDefault="00F652E9" w:rsidP="00832BB4">
      <w:pPr>
        <w:shd w:val="clear" w:color="auto" w:fill="FFFFFF"/>
        <w:jc w:val="center"/>
        <w:rPr>
          <w:rFonts w:eastAsia="Arial Unicode MS"/>
          <w:b/>
        </w:rPr>
      </w:pPr>
      <w:r w:rsidRPr="00B06DAB">
        <w:rPr>
          <w:rFonts w:eastAsia="Arial Unicode MS"/>
          <w:b/>
        </w:rPr>
        <w:t>5</w:t>
      </w:r>
      <w:r w:rsidR="00B57311" w:rsidRPr="00B06DAB">
        <w:rPr>
          <w:rFonts w:eastAsia="Arial Unicode MS"/>
          <w:b/>
        </w:rPr>
        <w:t>. Строительство</w:t>
      </w:r>
    </w:p>
    <w:p w:rsidR="00B57311" w:rsidRPr="00B06DAB" w:rsidRDefault="00B57311" w:rsidP="00832BB4">
      <w:pPr>
        <w:jc w:val="both"/>
        <w:rPr>
          <w:highlight w:val="yellow"/>
        </w:rPr>
      </w:pPr>
    </w:p>
    <w:p w:rsidR="00EC69AA" w:rsidRPr="00B06DAB" w:rsidRDefault="00166BE9" w:rsidP="00832BB4">
      <w:pPr>
        <w:ind w:firstLine="709"/>
        <w:jc w:val="both"/>
      </w:pPr>
      <w:proofErr w:type="gramStart"/>
      <w:r w:rsidRPr="00B06DAB">
        <w:rPr>
          <w:kern w:val="26"/>
        </w:rPr>
        <w:t>В 20</w:t>
      </w:r>
      <w:r w:rsidR="00BD079F" w:rsidRPr="00B06DAB">
        <w:rPr>
          <w:kern w:val="26"/>
        </w:rPr>
        <w:t>20</w:t>
      </w:r>
      <w:r w:rsidRPr="00B06DAB">
        <w:rPr>
          <w:kern w:val="26"/>
        </w:rPr>
        <w:t xml:space="preserve"> году </w:t>
      </w:r>
      <w:r w:rsidRPr="00B06DAB">
        <w:t>предусматривается ввести в эксплуатацию за счет всех источников ф</w:t>
      </w:r>
      <w:r w:rsidRPr="00B06DAB">
        <w:t>и</w:t>
      </w:r>
      <w:r w:rsidRPr="00B06DAB">
        <w:t>нансирования 6</w:t>
      </w:r>
      <w:r w:rsidR="00BD079F" w:rsidRPr="00B06DAB">
        <w:t>50</w:t>
      </w:r>
      <w:r w:rsidRPr="00B06DAB">
        <w:t xml:space="preserve">,0 тыс. кв. м общей площади жилья, или </w:t>
      </w:r>
      <w:r w:rsidR="00BD079F" w:rsidRPr="00B06DAB">
        <w:t>99</w:t>
      </w:r>
      <w:r w:rsidR="00BD7C03" w:rsidRPr="00BD7C03">
        <w:rPr>
          <w:bCs/>
        </w:rPr>
        <w:t xml:space="preserve"> </w:t>
      </w:r>
      <w:r w:rsidR="00BD7C03">
        <w:rPr>
          <w:bCs/>
        </w:rPr>
        <w:t>процентов</w:t>
      </w:r>
      <w:r w:rsidRPr="00B06DAB">
        <w:t xml:space="preserve"> к предыдущему году, в 202</w:t>
      </w:r>
      <w:r w:rsidR="00BD079F" w:rsidRPr="00B06DAB">
        <w:t>1</w:t>
      </w:r>
      <w:r w:rsidRPr="00B06DAB">
        <w:t xml:space="preserve"> году ввод жилья по базовому варианту </w:t>
      </w:r>
      <w:r w:rsidR="006875CD" w:rsidRPr="00B06DAB">
        <w:t xml:space="preserve">прогноза </w:t>
      </w:r>
      <w:r w:rsidRPr="00B06DAB">
        <w:t xml:space="preserve">составит </w:t>
      </w:r>
      <w:r w:rsidR="00BD079F" w:rsidRPr="00B06DAB">
        <w:t>624,</w:t>
      </w:r>
      <w:r w:rsidRPr="00B06DAB">
        <w:t>0 тыс. кв. м, в 202</w:t>
      </w:r>
      <w:r w:rsidR="00BD079F" w:rsidRPr="00B06DAB">
        <w:t>2</w:t>
      </w:r>
      <w:r w:rsidRPr="00B06DAB">
        <w:t xml:space="preserve"> году – </w:t>
      </w:r>
      <w:r w:rsidR="00BD079F" w:rsidRPr="00B06DAB">
        <w:t>655,2</w:t>
      </w:r>
      <w:r w:rsidRPr="00B06DAB">
        <w:t xml:space="preserve"> тыс. кв.</w:t>
      </w:r>
      <w:r w:rsidR="002A3EDF">
        <w:t xml:space="preserve"> </w:t>
      </w:r>
      <w:r w:rsidRPr="00B06DAB">
        <w:t>м, в 202</w:t>
      </w:r>
      <w:r w:rsidR="00BD079F" w:rsidRPr="00B06DAB">
        <w:t>3</w:t>
      </w:r>
      <w:r w:rsidRPr="00B06DAB">
        <w:t xml:space="preserve"> году – </w:t>
      </w:r>
      <w:r w:rsidR="00BD079F" w:rsidRPr="00B06DAB">
        <w:t>688</w:t>
      </w:r>
      <w:r w:rsidRPr="00B06DAB">
        <w:t>,0 тыс.</w:t>
      </w:r>
      <w:r w:rsidR="006875CD" w:rsidRPr="00B06DAB">
        <w:t xml:space="preserve"> </w:t>
      </w:r>
      <w:r w:rsidR="00BD079F" w:rsidRPr="00B06DAB">
        <w:t>кв. м</w:t>
      </w:r>
      <w:r w:rsidRPr="00B06DAB">
        <w:t>.</w:t>
      </w:r>
      <w:proofErr w:type="gramEnd"/>
    </w:p>
    <w:p w:rsidR="00B17B61" w:rsidRPr="00B06DAB" w:rsidRDefault="00B17B61" w:rsidP="00832BB4">
      <w:pPr>
        <w:ind w:firstLine="709"/>
        <w:jc w:val="both"/>
        <w:rPr>
          <w:highlight w:val="yellow"/>
        </w:rPr>
      </w:pPr>
    </w:p>
    <w:p w:rsidR="00A1200C" w:rsidRPr="00B06DAB" w:rsidRDefault="00A1200C" w:rsidP="00832BB4">
      <w:pPr>
        <w:ind w:firstLine="709"/>
        <w:jc w:val="both"/>
        <w:rPr>
          <w:highlight w:val="yellow"/>
        </w:rPr>
      </w:pPr>
    </w:p>
    <w:p w:rsidR="008268ED" w:rsidRPr="00B06DAB" w:rsidRDefault="008268ED" w:rsidP="00832BB4">
      <w:pPr>
        <w:ind w:firstLine="709"/>
        <w:jc w:val="both"/>
        <w:rPr>
          <w:highlight w:val="yellow"/>
        </w:rPr>
      </w:pPr>
    </w:p>
    <w:p w:rsidR="00A1200C" w:rsidRPr="00A1200C" w:rsidRDefault="00A1200C" w:rsidP="00A1200C">
      <w:pPr>
        <w:ind w:firstLine="709"/>
        <w:jc w:val="center"/>
      </w:pPr>
      <w:r w:rsidRPr="00A1200C">
        <w:rPr>
          <w:b/>
          <w:bCs/>
        </w:rPr>
        <w:t>Ввод в действие жилья, тыс. кв. метров</w:t>
      </w:r>
    </w:p>
    <w:p w:rsidR="00166BE9" w:rsidRPr="00422F38" w:rsidRDefault="00166BE9" w:rsidP="00832BB4">
      <w:pPr>
        <w:jc w:val="center"/>
        <w:rPr>
          <w:b/>
          <w:bCs/>
          <w:highlight w:val="yellow"/>
        </w:rPr>
      </w:pPr>
      <w:r w:rsidRPr="00BD079F">
        <w:rPr>
          <w:rFonts w:eastAsia="Arial Unicode MS"/>
          <w:noProof/>
          <w:color w:val="943634" w:themeColor="accent2" w:themeShade="BF"/>
        </w:rPr>
        <w:drawing>
          <wp:inline distT="0" distB="0" distL="0" distR="0" wp14:anchorId="67EB26AB" wp14:editId="43374F27">
            <wp:extent cx="5337544" cy="2339163"/>
            <wp:effectExtent l="57150" t="0" r="53975" b="118745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00BB" w:rsidRPr="005A00BB" w:rsidRDefault="005A00BB" w:rsidP="005A00BB">
      <w:pPr>
        <w:ind w:firstLine="720"/>
        <w:jc w:val="both"/>
        <w:rPr>
          <w:bCs/>
        </w:rPr>
      </w:pPr>
      <w:r w:rsidRPr="005A00BB">
        <w:rPr>
          <w:bCs/>
        </w:rPr>
        <w:t>На снижение объемов ввода жилья повлияли ограничения, связанные с предупр</w:t>
      </w:r>
      <w:r w:rsidRPr="005A00BB">
        <w:rPr>
          <w:bCs/>
        </w:rPr>
        <w:t>е</w:t>
      </w:r>
      <w:r w:rsidRPr="005A00BB">
        <w:rPr>
          <w:bCs/>
        </w:rPr>
        <w:t xml:space="preserve">ждением распространения  новой </w:t>
      </w:r>
      <w:proofErr w:type="spellStart"/>
      <w:r w:rsidRPr="005A00BB">
        <w:rPr>
          <w:bCs/>
        </w:rPr>
        <w:t>коронавирусной</w:t>
      </w:r>
      <w:proofErr w:type="spellEnd"/>
      <w:r w:rsidRPr="005A00BB">
        <w:rPr>
          <w:bCs/>
        </w:rPr>
        <w:t xml:space="preserve"> инфекции (COVID-19).</w:t>
      </w:r>
    </w:p>
    <w:p w:rsidR="005A00BB" w:rsidRDefault="005A00BB" w:rsidP="005A00BB">
      <w:pPr>
        <w:ind w:firstLine="720"/>
        <w:jc w:val="both"/>
        <w:rPr>
          <w:bCs/>
        </w:rPr>
      </w:pPr>
      <w:r w:rsidRPr="005A00BB">
        <w:rPr>
          <w:bCs/>
        </w:rPr>
        <w:t xml:space="preserve">Кроме того, отмечается снижение заделов жилищного строительства </w:t>
      </w:r>
      <w:proofErr w:type="gramStart"/>
      <w:r w:rsidRPr="005A00BB">
        <w:rPr>
          <w:bCs/>
        </w:rPr>
        <w:t>много-квартирного</w:t>
      </w:r>
      <w:proofErr w:type="gramEnd"/>
      <w:r w:rsidRPr="005A00BB">
        <w:rPr>
          <w:bCs/>
        </w:rPr>
        <w:t xml:space="preserve"> жилья. По сравнению с началом предыдущего года в 2020 году количество строящихся домов снизилось на 24 процента (со 103 до 78), площадь строящегося жилья – на 21 процент (с 1045 тыс. кв. м до 823 тыс. кв. м). Уменьшилось число застройщиков на 23 процента (с 57 до 44). </w:t>
      </w:r>
    </w:p>
    <w:p w:rsidR="00EC69AA" w:rsidRPr="00B06DAB" w:rsidRDefault="006B2C86" w:rsidP="005A00BB">
      <w:pPr>
        <w:ind w:firstLine="720"/>
        <w:jc w:val="both"/>
        <w:rPr>
          <w:bCs/>
        </w:rPr>
      </w:pPr>
      <w:r w:rsidRPr="00B06DAB">
        <w:rPr>
          <w:bCs/>
        </w:rPr>
        <w:t xml:space="preserve">Объем работ, выполненных по виду деятельности «Строительство», </w:t>
      </w:r>
      <w:r w:rsidR="00BD079F" w:rsidRPr="00B06DAB">
        <w:rPr>
          <w:bCs/>
        </w:rPr>
        <w:t>в 2020 году с</w:t>
      </w:r>
      <w:r w:rsidR="00BD079F" w:rsidRPr="00B06DAB">
        <w:rPr>
          <w:bCs/>
        </w:rPr>
        <w:t>о</w:t>
      </w:r>
      <w:r w:rsidR="00BD079F" w:rsidRPr="00B06DAB">
        <w:rPr>
          <w:bCs/>
        </w:rPr>
        <w:t>ставит, по оценке, 37 515,0 млн. рублей, или 99</w:t>
      </w:r>
      <w:r w:rsidR="00BD7C03" w:rsidRPr="00BD7C03">
        <w:rPr>
          <w:bCs/>
        </w:rPr>
        <w:t xml:space="preserve"> </w:t>
      </w:r>
      <w:r w:rsidR="00BD7C03">
        <w:rPr>
          <w:bCs/>
        </w:rPr>
        <w:t>процентов</w:t>
      </w:r>
      <w:r w:rsidR="00BD079F" w:rsidRPr="00B06DAB">
        <w:rPr>
          <w:bCs/>
        </w:rPr>
        <w:t xml:space="preserve"> к 2019 году, в 2021 году по б</w:t>
      </w:r>
      <w:r w:rsidR="00BD079F" w:rsidRPr="00B06DAB">
        <w:rPr>
          <w:bCs/>
        </w:rPr>
        <w:t>а</w:t>
      </w:r>
      <w:r w:rsidR="00BD079F" w:rsidRPr="00B06DAB">
        <w:rPr>
          <w:bCs/>
        </w:rPr>
        <w:t>зовому варианту прогноза – 101,8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="00BD079F" w:rsidRPr="00B06DAB">
        <w:rPr>
          <w:bCs/>
        </w:rPr>
        <w:t xml:space="preserve"> к уровню 2020 года, в 2022 году – 102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</w:t>
      </w:r>
      <w:r w:rsidR="00BD7C03" w:rsidRPr="00B06DAB">
        <w:rPr>
          <w:bCs/>
        </w:rPr>
        <w:t>н</w:t>
      </w:r>
      <w:r w:rsidR="00BD7C03" w:rsidRPr="00B06DAB">
        <w:rPr>
          <w:bCs/>
        </w:rPr>
        <w:t>та</w:t>
      </w:r>
      <w:r w:rsidR="00BD079F" w:rsidRPr="00B06DAB">
        <w:rPr>
          <w:bCs/>
        </w:rPr>
        <w:t>, в 2023 году –102,1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="00BD079F" w:rsidRPr="00B06DAB">
        <w:rPr>
          <w:bCs/>
        </w:rPr>
        <w:t>.</w:t>
      </w:r>
      <w:r w:rsidR="00BD7C03">
        <w:rPr>
          <w:bCs/>
        </w:rPr>
        <w:t xml:space="preserve"> </w:t>
      </w:r>
    </w:p>
    <w:p w:rsidR="00A1200C" w:rsidRPr="00B06DAB" w:rsidRDefault="00A1200C" w:rsidP="00832BB4">
      <w:pPr>
        <w:ind w:firstLine="720"/>
        <w:jc w:val="both"/>
        <w:rPr>
          <w:bCs/>
        </w:rPr>
      </w:pPr>
    </w:p>
    <w:p w:rsidR="00A1200C" w:rsidRPr="00B06DAB" w:rsidRDefault="00A1200C" w:rsidP="00A1200C">
      <w:pPr>
        <w:kinsoku w:val="0"/>
        <w:overflowPunct w:val="0"/>
        <w:jc w:val="center"/>
        <w:textAlignment w:val="baseline"/>
      </w:pPr>
      <w:r w:rsidRPr="00B06DAB">
        <w:rPr>
          <w:rFonts w:eastAsiaTheme="minorEastAsia"/>
          <w:b/>
          <w:bCs/>
          <w:color w:val="000000"/>
          <w:kern w:val="24"/>
        </w:rPr>
        <w:t>Объем работ по виду деятельности «Строительство», млрд. рублей</w:t>
      </w:r>
    </w:p>
    <w:p w:rsidR="00EC69AA" w:rsidRPr="00422F38" w:rsidRDefault="00EC69AA" w:rsidP="00BD079F">
      <w:pPr>
        <w:shd w:val="clear" w:color="auto" w:fill="FFFFFF"/>
        <w:jc w:val="center"/>
        <w:rPr>
          <w:rFonts w:eastAsia="Arial Unicode MS"/>
          <w:highlight w:val="yellow"/>
        </w:rPr>
      </w:pPr>
      <w:r w:rsidRPr="00BD079F">
        <w:rPr>
          <w:rFonts w:eastAsia="Arial Unicode MS"/>
          <w:noProof/>
          <w:color w:val="F2DBDB" w:themeColor="accent2" w:themeTint="33"/>
        </w:rPr>
        <w:drawing>
          <wp:inline distT="0" distB="0" distL="0" distR="0" wp14:anchorId="3B850CAD" wp14:editId="7A44126D">
            <wp:extent cx="5518297" cy="2413591"/>
            <wp:effectExtent l="57150" t="0" r="63500" b="12065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1CD1" w:rsidRPr="00B06DAB" w:rsidRDefault="00931CD1" w:rsidP="00832BB4">
      <w:pPr>
        <w:jc w:val="center"/>
        <w:rPr>
          <w:b/>
          <w:highlight w:val="yellow"/>
        </w:rPr>
      </w:pPr>
    </w:p>
    <w:p w:rsidR="0093624D" w:rsidRPr="00B06DAB" w:rsidRDefault="00930FE0" w:rsidP="0093624D">
      <w:pPr>
        <w:jc w:val="center"/>
        <w:rPr>
          <w:b/>
          <w:highlight w:val="yellow"/>
        </w:rPr>
      </w:pPr>
      <w:r w:rsidRPr="00B06DAB">
        <w:rPr>
          <w:b/>
        </w:rPr>
        <w:t>6</w:t>
      </w:r>
      <w:r w:rsidR="0093624D" w:rsidRPr="00B06DAB">
        <w:rPr>
          <w:b/>
        </w:rPr>
        <w:t xml:space="preserve">. </w:t>
      </w:r>
      <w:r w:rsidRPr="00B06DAB">
        <w:rPr>
          <w:b/>
        </w:rPr>
        <w:t>Торговля и услуги населению</w:t>
      </w:r>
    </w:p>
    <w:p w:rsidR="0093624D" w:rsidRPr="00B06DAB" w:rsidRDefault="0093624D" w:rsidP="0093624D">
      <w:pPr>
        <w:pStyle w:val="21"/>
        <w:spacing w:line="240" w:lineRule="auto"/>
        <w:ind w:firstLine="720"/>
        <w:rPr>
          <w:highlight w:val="yellow"/>
        </w:rPr>
      </w:pPr>
    </w:p>
    <w:p w:rsidR="00BD3689" w:rsidRPr="00B06DAB" w:rsidRDefault="00BD3689" w:rsidP="00BD3689">
      <w:pPr>
        <w:widowControl w:val="0"/>
        <w:suppressAutoHyphens/>
        <w:ind w:firstLine="720"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>Индекс потребительских цен к концу 2020 года</w:t>
      </w:r>
      <w:r w:rsidR="002A3EDF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по оценке</w:t>
      </w:r>
      <w:r w:rsidR="002A3EDF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составит 103,6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 xml:space="preserve"> и сложится на уровне среднероссийского показателя (103,5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 xml:space="preserve">). </w:t>
      </w:r>
    </w:p>
    <w:p w:rsidR="00BD3689" w:rsidRPr="00B06DAB" w:rsidRDefault="00BD3689" w:rsidP="00BD3689">
      <w:pPr>
        <w:widowControl w:val="0"/>
        <w:suppressAutoHyphens/>
        <w:ind w:firstLine="720"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Ускорению инфляции в текущем году </w:t>
      </w:r>
      <w:r w:rsidR="00342672" w:rsidRPr="00B06DAB">
        <w:rPr>
          <w:rFonts w:eastAsiaTheme="minorHAnsi"/>
          <w:lang w:eastAsia="en-US"/>
        </w:rPr>
        <w:t>(в 2019 году ее уровень составил 2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="00342672" w:rsidRPr="00B06DAB">
        <w:rPr>
          <w:rFonts w:eastAsiaTheme="minorHAnsi"/>
          <w:lang w:eastAsia="en-US"/>
        </w:rPr>
        <w:t xml:space="preserve">) </w:t>
      </w:r>
      <w:r w:rsidRPr="00B06DAB">
        <w:rPr>
          <w:rFonts w:eastAsiaTheme="minorHAnsi"/>
          <w:lang w:eastAsia="en-US"/>
        </w:rPr>
        <w:t xml:space="preserve">способствует ослабление курса рубля из-за обвала мировых цен на нефть, а также негативных факторов в экономике из-за стремительного распространения пандемии </w:t>
      </w:r>
      <w:proofErr w:type="spellStart"/>
      <w:r w:rsidRPr="00B06DAB">
        <w:rPr>
          <w:rFonts w:eastAsiaTheme="minorHAnsi"/>
          <w:lang w:eastAsia="en-US"/>
        </w:rPr>
        <w:t>коронавирусной</w:t>
      </w:r>
      <w:proofErr w:type="spellEnd"/>
      <w:r w:rsidRPr="00B06DAB">
        <w:rPr>
          <w:rFonts w:eastAsiaTheme="minorHAnsi"/>
          <w:lang w:eastAsia="en-US"/>
        </w:rPr>
        <w:t xml:space="preserve"> инфекции. Дальнейший рост инфляции будет сдерживаться ограниченным потребительским спросом из-за снижения доходов населения. </w:t>
      </w:r>
    </w:p>
    <w:p w:rsidR="00BD3689" w:rsidRPr="00B06DAB" w:rsidRDefault="00BD3689" w:rsidP="00BD3689">
      <w:pPr>
        <w:widowControl w:val="0"/>
        <w:suppressAutoHyphens/>
        <w:ind w:firstLine="720"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В 2021 году инфляция прогнозируется незначительно выше </w:t>
      </w:r>
      <w:r w:rsidR="004A6063">
        <w:rPr>
          <w:rFonts w:eastAsiaTheme="minorHAnsi"/>
          <w:lang w:eastAsia="en-US"/>
        </w:rPr>
        <w:t>–</w:t>
      </w:r>
      <w:r w:rsidRPr="00B06DAB">
        <w:rPr>
          <w:rFonts w:eastAsiaTheme="minorHAnsi"/>
          <w:lang w:eastAsia="en-US"/>
        </w:rPr>
        <w:t xml:space="preserve"> на уровне 3,9</w:t>
      </w:r>
      <w:r w:rsidR="00BD7C03">
        <w:rPr>
          <w:rFonts w:eastAsiaTheme="minorHAnsi"/>
          <w:lang w:eastAsia="en-US"/>
        </w:rPr>
        <w:t> </w:t>
      </w:r>
      <w:r w:rsidRPr="00B06DAB">
        <w:rPr>
          <w:rFonts w:eastAsiaTheme="minorHAnsi"/>
          <w:lang w:eastAsia="en-US"/>
        </w:rPr>
        <w:t>(базовый вариант) - 4,8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 xml:space="preserve"> (консервативный вариант). </w:t>
      </w:r>
    </w:p>
    <w:p w:rsidR="00BD3689" w:rsidRPr="00B06DAB" w:rsidRDefault="00BD3689" w:rsidP="00BD3689">
      <w:pPr>
        <w:widowControl w:val="0"/>
        <w:suppressAutoHyphens/>
        <w:ind w:firstLine="720"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>В 2022 и 2023 годах инфляция прогнозируется в базовом сценарии на уровне 4</w:t>
      </w:r>
      <w:r w:rsidR="00BD7C03">
        <w:rPr>
          <w:bCs/>
        </w:rPr>
        <w:t> </w:t>
      </w:r>
      <w:r w:rsidR="00BD7C03" w:rsidRPr="00B06DAB">
        <w:rPr>
          <w:bCs/>
        </w:rPr>
        <w:t>процент</w:t>
      </w:r>
      <w:r w:rsidR="00BD7C03">
        <w:rPr>
          <w:bCs/>
        </w:rPr>
        <w:t>ов</w:t>
      </w:r>
      <w:r w:rsidRPr="00B06DAB">
        <w:rPr>
          <w:rFonts w:eastAsiaTheme="minorHAnsi"/>
          <w:lang w:eastAsia="en-US"/>
        </w:rPr>
        <w:t>. В консервативном варианте прогноза на фоне более заметного ослабления рубля, с одной стороны, и более низких темпов экономического роста, с другой стороны, инфляция прогнозируется в 2022 году 5,3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 xml:space="preserve"> и в 2023 году 5,1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>. Сохранению инфляции на уровне целевого ориентира Центробанка РФ на уровне 4</w:t>
      </w:r>
      <w:r w:rsidR="00BD7C03">
        <w:rPr>
          <w:bCs/>
        </w:rPr>
        <w:t> процентов</w:t>
      </w:r>
      <w:r w:rsidRPr="00B06DAB">
        <w:rPr>
          <w:rFonts w:eastAsiaTheme="minorHAnsi"/>
          <w:lang w:eastAsia="en-US"/>
        </w:rPr>
        <w:t xml:space="preserve"> будут способствовать умеренное повышение доходов населения, укрепление номинального курса рубля, рост предложения товаров и сбалансированность товарных рынков.</w:t>
      </w:r>
    </w:p>
    <w:p w:rsidR="00B25912" w:rsidRPr="00B06DAB" w:rsidRDefault="00B25912" w:rsidP="00B25912">
      <w:pPr>
        <w:ind w:firstLine="567"/>
        <w:contextualSpacing/>
        <w:jc w:val="both"/>
        <w:rPr>
          <w:rFonts w:eastAsiaTheme="minorHAnsi"/>
          <w:lang w:eastAsia="en-US"/>
        </w:rPr>
      </w:pPr>
      <w:proofErr w:type="gramStart"/>
      <w:r w:rsidRPr="00B06DAB">
        <w:rPr>
          <w:rFonts w:eastAsiaTheme="minorHAnsi"/>
          <w:lang w:eastAsia="en-US"/>
        </w:rPr>
        <w:t xml:space="preserve">В связи с принятием в республике ограничительных мер с 3 апреля по 20 июня 2020 г., связанных с распространением новой </w:t>
      </w:r>
      <w:proofErr w:type="spellStart"/>
      <w:r w:rsidRPr="00B06DAB">
        <w:rPr>
          <w:rFonts w:eastAsiaTheme="minorHAnsi"/>
          <w:lang w:eastAsia="en-US"/>
        </w:rPr>
        <w:t>коронавирусной</w:t>
      </w:r>
      <w:proofErr w:type="spellEnd"/>
      <w:r w:rsidRPr="00B06DAB">
        <w:rPr>
          <w:rFonts w:eastAsiaTheme="minorHAnsi"/>
          <w:lang w:eastAsia="en-US"/>
        </w:rPr>
        <w:t xml:space="preserve"> инфекции, приостановлена деятельность порядка 1955 предприятий розничной торговли, 1060 предприятий общ</w:t>
      </w:r>
      <w:r w:rsidRPr="00B06DAB">
        <w:rPr>
          <w:rFonts w:eastAsiaTheme="minorHAnsi"/>
          <w:lang w:eastAsia="en-US"/>
        </w:rPr>
        <w:t>е</w:t>
      </w:r>
      <w:r w:rsidRPr="00B06DAB">
        <w:rPr>
          <w:rFonts w:eastAsiaTheme="minorHAnsi"/>
          <w:lang w:eastAsia="en-US"/>
        </w:rPr>
        <w:t>ственного питания и 350 предприятий сферы услуг, общая численность работников да</w:t>
      </w:r>
      <w:r w:rsidRPr="00B06DAB">
        <w:rPr>
          <w:rFonts w:eastAsiaTheme="minorHAnsi"/>
          <w:lang w:eastAsia="en-US"/>
        </w:rPr>
        <w:t>н</w:t>
      </w:r>
      <w:r w:rsidRPr="00B06DAB">
        <w:rPr>
          <w:rFonts w:eastAsiaTheme="minorHAnsi"/>
          <w:lang w:eastAsia="en-US"/>
        </w:rPr>
        <w:t>ных предприятий составляет более 35,0 тыс. чел. С 20 июня 2020 г. остается приостано</w:t>
      </w:r>
      <w:r w:rsidRPr="00B06DAB">
        <w:rPr>
          <w:rFonts w:eastAsiaTheme="minorHAnsi"/>
          <w:lang w:eastAsia="en-US"/>
        </w:rPr>
        <w:t>в</w:t>
      </w:r>
      <w:r w:rsidRPr="00B06DAB">
        <w:rPr>
          <w:rFonts w:eastAsiaTheme="minorHAnsi"/>
          <w:lang w:eastAsia="en-US"/>
        </w:rPr>
        <w:t>ленной деятельность около 420 предприятий розничной</w:t>
      </w:r>
      <w:proofErr w:type="gramEnd"/>
      <w:r w:rsidRPr="00B06DAB">
        <w:rPr>
          <w:rFonts w:eastAsiaTheme="minorHAnsi"/>
          <w:lang w:eastAsia="en-US"/>
        </w:rPr>
        <w:t xml:space="preserve"> торговли, 975 предприятий общ</w:t>
      </w:r>
      <w:r w:rsidRPr="00B06DAB">
        <w:rPr>
          <w:rFonts w:eastAsiaTheme="minorHAnsi"/>
          <w:lang w:eastAsia="en-US"/>
        </w:rPr>
        <w:t>е</w:t>
      </w:r>
      <w:r w:rsidRPr="00B06DAB">
        <w:rPr>
          <w:rFonts w:eastAsiaTheme="minorHAnsi"/>
          <w:lang w:eastAsia="en-US"/>
        </w:rPr>
        <w:t>ственного питания и 350 предприятий сферы услуг. Общая численность работников да</w:t>
      </w:r>
      <w:r w:rsidRPr="00B06DAB">
        <w:rPr>
          <w:rFonts w:eastAsiaTheme="minorHAnsi"/>
          <w:lang w:eastAsia="en-US"/>
        </w:rPr>
        <w:t>н</w:t>
      </w:r>
      <w:r w:rsidRPr="00B06DAB">
        <w:rPr>
          <w:rFonts w:eastAsiaTheme="minorHAnsi"/>
          <w:lang w:eastAsia="en-US"/>
        </w:rPr>
        <w:t>ных предприятий составляет более 15,0 тыс. чел.</w:t>
      </w:r>
    </w:p>
    <w:p w:rsidR="00B25912" w:rsidRPr="00B06DAB" w:rsidRDefault="00B25912" w:rsidP="00B2591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>По итогам 2020 года оборот розничной торговли, по оценке, составит 161,9 млрд. рублей или 94,5</w:t>
      </w:r>
      <w:r w:rsidR="00BD7C03" w:rsidRPr="00BD7C03">
        <w:t xml:space="preserve"> </w:t>
      </w:r>
      <w:r w:rsidR="00BD7C03" w:rsidRPr="00BD7C03">
        <w:rPr>
          <w:rFonts w:eastAsiaTheme="minorHAnsi"/>
          <w:lang w:eastAsia="en-US"/>
        </w:rPr>
        <w:t>процента</w:t>
      </w:r>
      <w:r w:rsidRPr="00B06DAB">
        <w:rPr>
          <w:rFonts w:eastAsiaTheme="minorHAnsi"/>
          <w:lang w:eastAsia="en-US"/>
        </w:rPr>
        <w:t xml:space="preserve"> к уровню 2019 года. </w:t>
      </w:r>
    </w:p>
    <w:p w:rsidR="00B25912" w:rsidRPr="00B06DAB" w:rsidRDefault="00B25912" w:rsidP="00B2591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>Восстановительные процессы и возобновление экономического роста обеспечат в 2021 году индекс физического объема оборота розничной торговли на уровне 97,1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</w:t>
      </w:r>
      <w:r w:rsidR="00BD7C03" w:rsidRPr="00B06DAB">
        <w:rPr>
          <w:bCs/>
        </w:rPr>
        <w:t>о</w:t>
      </w:r>
      <w:r w:rsidR="00BD7C03" w:rsidRPr="00B06DAB">
        <w:rPr>
          <w:bCs/>
        </w:rPr>
        <w:t>цента</w:t>
      </w:r>
      <w:r w:rsidRPr="00B06DAB">
        <w:rPr>
          <w:rFonts w:eastAsiaTheme="minorHAnsi"/>
          <w:lang w:eastAsia="en-US"/>
        </w:rPr>
        <w:t xml:space="preserve"> при консервативном варианте развития экономики, при базовом – 103</w:t>
      </w:r>
      <w:r w:rsidR="00BD7C03">
        <w:rPr>
          <w:rFonts w:eastAsiaTheme="minorHAnsi"/>
          <w:lang w:eastAsia="en-US"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>, в 2022 году – 102,5</w:t>
      </w:r>
      <w:r w:rsidR="00BD7C03">
        <w:rPr>
          <w:rFonts w:eastAsiaTheme="minorHAnsi"/>
          <w:lang w:eastAsia="en-US"/>
        </w:rPr>
        <w:t xml:space="preserve"> и</w:t>
      </w:r>
      <w:r w:rsidRPr="00B06DAB">
        <w:rPr>
          <w:rFonts w:eastAsiaTheme="minorHAnsi"/>
          <w:lang w:eastAsia="en-US"/>
        </w:rPr>
        <w:t xml:space="preserve"> 103,2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 xml:space="preserve"> соответственно, в 2023 году – 102,7</w:t>
      </w:r>
      <w:r w:rsidR="00BD7C03" w:rsidRPr="00BD7C03">
        <w:rPr>
          <w:bCs/>
        </w:rPr>
        <w:t xml:space="preserve"> </w:t>
      </w:r>
      <w:r w:rsidR="00BD7C03">
        <w:rPr>
          <w:bCs/>
        </w:rPr>
        <w:t>и</w:t>
      </w:r>
      <w:r w:rsidRPr="00B06DAB">
        <w:rPr>
          <w:rFonts w:eastAsiaTheme="minorHAnsi"/>
          <w:lang w:eastAsia="en-US"/>
        </w:rPr>
        <w:t xml:space="preserve"> 10</w:t>
      </w:r>
      <w:r w:rsidR="00D10AB4" w:rsidRPr="00B06DAB">
        <w:rPr>
          <w:rFonts w:eastAsiaTheme="minorHAnsi"/>
          <w:lang w:eastAsia="en-US"/>
        </w:rPr>
        <w:t>2</w:t>
      </w:r>
      <w:r w:rsidRPr="00B06DAB">
        <w:rPr>
          <w:rFonts w:eastAsiaTheme="minorHAnsi"/>
          <w:lang w:eastAsia="en-US"/>
        </w:rPr>
        <w:t>,9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>.</w:t>
      </w:r>
    </w:p>
    <w:p w:rsidR="00A1200C" w:rsidRDefault="00A1200C" w:rsidP="00B25912">
      <w:pPr>
        <w:ind w:firstLine="567"/>
        <w:contextualSpacing/>
        <w:jc w:val="both"/>
        <w:rPr>
          <w:rFonts w:eastAsiaTheme="minorHAnsi"/>
          <w:lang w:eastAsia="en-US"/>
        </w:rPr>
      </w:pPr>
    </w:p>
    <w:p w:rsidR="00A1200C" w:rsidRPr="00A1200C" w:rsidRDefault="00A1200C" w:rsidP="00A1200C">
      <w:pPr>
        <w:jc w:val="center"/>
      </w:pPr>
      <w:r w:rsidRPr="00A1200C">
        <w:rPr>
          <w:b/>
          <w:bCs/>
          <w:color w:val="000000"/>
          <w:kern w:val="24"/>
        </w:rPr>
        <w:t>Темпы роста (снижения) розничного товарооборота</w:t>
      </w:r>
      <w:r w:rsidRPr="00A1200C">
        <w:rPr>
          <w:b/>
          <w:bCs/>
          <w:color w:val="000000"/>
          <w:kern w:val="24"/>
        </w:rPr>
        <w:br/>
        <w:t>(</w:t>
      </w:r>
      <w:proofErr w:type="gramStart"/>
      <w:r w:rsidRPr="00A1200C">
        <w:rPr>
          <w:b/>
          <w:bCs/>
          <w:color w:val="000000"/>
          <w:kern w:val="24"/>
        </w:rPr>
        <w:t>в</w:t>
      </w:r>
      <w:proofErr w:type="gramEnd"/>
      <w:r w:rsidRPr="00A1200C">
        <w:rPr>
          <w:b/>
          <w:bCs/>
          <w:color w:val="000000"/>
          <w:kern w:val="24"/>
        </w:rPr>
        <w:t xml:space="preserve"> % </w:t>
      </w:r>
      <w:proofErr w:type="gramStart"/>
      <w:r w:rsidRPr="00A1200C">
        <w:rPr>
          <w:b/>
          <w:bCs/>
          <w:color w:val="000000"/>
          <w:kern w:val="24"/>
        </w:rPr>
        <w:t>к</w:t>
      </w:r>
      <w:proofErr w:type="gramEnd"/>
      <w:r w:rsidRPr="00A1200C">
        <w:rPr>
          <w:b/>
          <w:bCs/>
          <w:color w:val="000000"/>
          <w:kern w:val="24"/>
        </w:rPr>
        <w:t xml:space="preserve"> предыдущему году)</w:t>
      </w:r>
    </w:p>
    <w:p w:rsidR="00B25912" w:rsidRPr="00B25912" w:rsidRDefault="00B25912" w:rsidP="00B2324C">
      <w:pPr>
        <w:spacing w:line="281" w:lineRule="auto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B2591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D9D8874" wp14:editId="3F88833D">
            <wp:extent cx="5390707" cy="2456121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5912" w:rsidRPr="00B06DAB" w:rsidRDefault="00B25912" w:rsidP="00B2591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В апреле – мае </w:t>
      </w:r>
      <w:r w:rsidR="00AD6D1B" w:rsidRPr="00B06DAB">
        <w:rPr>
          <w:rFonts w:eastAsiaTheme="minorHAnsi"/>
          <w:lang w:eastAsia="en-US"/>
        </w:rPr>
        <w:t xml:space="preserve">2020 </w:t>
      </w:r>
      <w:r w:rsidRPr="00B06DAB">
        <w:rPr>
          <w:rFonts w:eastAsiaTheme="minorHAnsi"/>
          <w:lang w:eastAsia="en-US"/>
        </w:rPr>
        <w:t>г</w:t>
      </w:r>
      <w:r w:rsidR="00D83540">
        <w:rPr>
          <w:rFonts w:eastAsiaTheme="minorHAnsi"/>
          <w:lang w:eastAsia="en-US"/>
        </w:rPr>
        <w:t>ода</w:t>
      </w:r>
      <w:r w:rsidRPr="00B06DAB">
        <w:rPr>
          <w:rFonts w:eastAsiaTheme="minorHAnsi"/>
          <w:lang w:eastAsia="en-US"/>
        </w:rPr>
        <w:t xml:space="preserve"> от ограничительных мер существенно пострадали </w:t>
      </w:r>
      <w:r w:rsidR="00AD6D1B" w:rsidRPr="00B06DAB">
        <w:rPr>
          <w:rFonts w:eastAsiaTheme="minorHAnsi"/>
          <w:lang w:eastAsia="en-US"/>
        </w:rPr>
        <w:t>предпр</w:t>
      </w:r>
      <w:r w:rsidR="00AD6D1B" w:rsidRPr="00B06DAB">
        <w:rPr>
          <w:rFonts w:eastAsiaTheme="minorHAnsi"/>
          <w:lang w:eastAsia="en-US"/>
        </w:rPr>
        <w:t>и</w:t>
      </w:r>
      <w:r w:rsidR="00AD6D1B" w:rsidRPr="00B06DAB">
        <w:rPr>
          <w:rFonts w:eastAsiaTheme="minorHAnsi"/>
          <w:lang w:eastAsia="en-US"/>
        </w:rPr>
        <w:t xml:space="preserve">ятия, оказывающие </w:t>
      </w:r>
      <w:r w:rsidRPr="00B06DAB">
        <w:rPr>
          <w:rFonts w:eastAsiaTheme="minorHAnsi"/>
          <w:lang w:eastAsia="en-US"/>
        </w:rPr>
        <w:t>бытовые, туристские, медицинские платные услуги, услуги гостиниц, специализированных коллективных средств размещения, в том числе санаторно-курортных организаций, услуги, предоставляемые гражданам пожилого возраста и инв</w:t>
      </w:r>
      <w:r w:rsidRPr="00B06DAB">
        <w:rPr>
          <w:rFonts w:eastAsiaTheme="minorHAnsi"/>
          <w:lang w:eastAsia="en-US"/>
        </w:rPr>
        <w:t>а</w:t>
      </w:r>
      <w:r w:rsidRPr="00B06DAB">
        <w:rPr>
          <w:rFonts w:eastAsiaTheme="minorHAnsi"/>
          <w:lang w:eastAsia="en-US"/>
        </w:rPr>
        <w:t xml:space="preserve">лидам, услуги системы образования, культуры и транспортные услуги. Это отразится на показателях развития сферы платных услуг по итогам 2020 года. Объем платных услуг населению, по оценке, </w:t>
      </w:r>
      <w:r w:rsidR="00AD6D1B" w:rsidRPr="00B06DAB">
        <w:rPr>
          <w:rFonts w:eastAsiaTheme="minorHAnsi"/>
          <w:lang w:eastAsia="en-US"/>
        </w:rPr>
        <w:t>составит</w:t>
      </w:r>
      <w:r w:rsidRPr="00B06DAB">
        <w:rPr>
          <w:rFonts w:eastAsiaTheme="minorHAnsi"/>
          <w:lang w:eastAsia="en-US"/>
        </w:rPr>
        <w:t xml:space="preserve"> 5</w:t>
      </w:r>
      <w:r w:rsidR="001941D3" w:rsidRPr="00B06DAB">
        <w:rPr>
          <w:rFonts w:eastAsiaTheme="minorHAnsi"/>
          <w:lang w:eastAsia="en-US"/>
        </w:rPr>
        <w:t>0,9</w:t>
      </w:r>
      <w:r w:rsidRPr="00B06DAB">
        <w:rPr>
          <w:rFonts w:eastAsiaTheme="minorHAnsi"/>
          <w:lang w:eastAsia="en-US"/>
        </w:rPr>
        <w:t xml:space="preserve"> млрд. рублей или 9</w:t>
      </w:r>
      <w:r w:rsidR="001941D3" w:rsidRPr="00B06DAB">
        <w:rPr>
          <w:rFonts w:eastAsiaTheme="minorHAnsi"/>
          <w:lang w:eastAsia="en-US"/>
        </w:rPr>
        <w:t>1,5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 xml:space="preserve"> к уровню 2019 года. </w:t>
      </w:r>
    </w:p>
    <w:p w:rsidR="00B25912" w:rsidRPr="00B06DAB" w:rsidRDefault="00B25912" w:rsidP="00B2591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>Темпы роста объемов платных услуг составят в 2021 году при консервативном вар</w:t>
      </w:r>
      <w:r w:rsidRPr="00B06DAB">
        <w:rPr>
          <w:rFonts w:eastAsiaTheme="minorHAnsi"/>
          <w:lang w:eastAsia="en-US"/>
        </w:rPr>
        <w:t>и</w:t>
      </w:r>
      <w:r w:rsidRPr="00B06DAB">
        <w:rPr>
          <w:rFonts w:eastAsiaTheme="minorHAnsi"/>
          <w:lang w:eastAsia="en-US"/>
        </w:rPr>
        <w:t>анте развития экономики – 97,3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>, базовом – 10</w:t>
      </w:r>
      <w:r w:rsidR="001941D3" w:rsidRPr="00B06DAB">
        <w:rPr>
          <w:rFonts w:eastAsiaTheme="minorHAnsi"/>
          <w:lang w:eastAsia="en-US"/>
        </w:rPr>
        <w:t>2,</w:t>
      </w:r>
      <w:r w:rsidR="00D10AB4" w:rsidRPr="00B06DAB">
        <w:rPr>
          <w:rFonts w:eastAsiaTheme="minorHAnsi"/>
          <w:lang w:eastAsia="en-US"/>
        </w:rPr>
        <w:t>5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>, в 2022 году – 101 и 102,3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 xml:space="preserve"> соответственно, в 2023 году – 101,9 и 102,5</w:t>
      </w:r>
      <w:r w:rsidR="00BD7C03" w:rsidRPr="00BD7C03">
        <w:rPr>
          <w:bCs/>
        </w:rPr>
        <w:t xml:space="preserve"> </w:t>
      </w:r>
      <w:r w:rsidR="00BD7C03" w:rsidRPr="00B06DAB">
        <w:rPr>
          <w:bCs/>
        </w:rPr>
        <w:t>процента</w:t>
      </w:r>
      <w:r w:rsidRPr="00B06DAB">
        <w:rPr>
          <w:rFonts w:eastAsiaTheme="minorHAnsi"/>
          <w:lang w:eastAsia="en-US"/>
        </w:rPr>
        <w:t>.</w:t>
      </w:r>
    </w:p>
    <w:p w:rsidR="00AD6D1B" w:rsidRDefault="00AD6D1B" w:rsidP="00B25912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A1200C" w:rsidRPr="00A1200C" w:rsidRDefault="00A1200C" w:rsidP="00A1200C">
      <w:pPr>
        <w:jc w:val="center"/>
      </w:pPr>
      <w:r w:rsidRPr="00A1200C">
        <w:rPr>
          <w:b/>
          <w:bCs/>
          <w:color w:val="000000"/>
          <w:kern w:val="24"/>
        </w:rPr>
        <w:t>Темпы роста (снижения) объемов платных услуг</w:t>
      </w:r>
      <w:r w:rsidRPr="00A1200C">
        <w:rPr>
          <w:b/>
          <w:bCs/>
          <w:color w:val="000000"/>
          <w:kern w:val="24"/>
        </w:rPr>
        <w:br/>
        <w:t>(</w:t>
      </w:r>
      <w:proofErr w:type="gramStart"/>
      <w:r w:rsidRPr="00A1200C">
        <w:rPr>
          <w:b/>
          <w:bCs/>
          <w:color w:val="000000"/>
          <w:kern w:val="24"/>
        </w:rPr>
        <w:t>в</w:t>
      </w:r>
      <w:proofErr w:type="gramEnd"/>
      <w:r w:rsidRPr="00A1200C">
        <w:rPr>
          <w:b/>
          <w:bCs/>
          <w:color w:val="000000"/>
          <w:kern w:val="24"/>
        </w:rPr>
        <w:t xml:space="preserve"> % </w:t>
      </w:r>
      <w:proofErr w:type="gramStart"/>
      <w:r w:rsidRPr="00A1200C">
        <w:rPr>
          <w:b/>
          <w:bCs/>
          <w:color w:val="000000"/>
          <w:kern w:val="24"/>
        </w:rPr>
        <w:t>к</w:t>
      </w:r>
      <w:proofErr w:type="gramEnd"/>
      <w:r w:rsidRPr="00A1200C">
        <w:rPr>
          <w:b/>
          <w:bCs/>
          <w:color w:val="000000"/>
          <w:kern w:val="24"/>
        </w:rPr>
        <w:t xml:space="preserve"> предыдущему году)</w:t>
      </w:r>
    </w:p>
    <w:p w:rsidR="00B25912" w:rsidRPr="00B25912" w:rsidRDefault="00B25912" w:rsidP="00A1200C">
      <w:pPr>
        <w:tabs>
          <w:tab w:val="left" w:pos="1134"/>
        </w:tabs>
        <w:spacing w:line="281" w:lineRule="auto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B2591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DCAEC34" wp14:editId="3CD44B9A">
            <wp:extent cx="5390707" cy="2488019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5912" w:rsidRPr="00B06DAB" w:rsidRDefault="00B25912" w:rsidP="00B2591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>В прогноз развития показателей потребительского рынка до 2023 года заложены предпосылки реализации Стратегии развития торговли в Российской Федерации до 2020</w:t>
      </w:r>
      <w:r w:rsidR="00940462">
        <w:rPr>
          <w:rFonts w:eastAsiaTheme="minorHAnsi"/>
          <w:lang w:eastAsia="en-US"/>
        </w:rPr>
        <w:t> </w:t>
      </w:r>
      <w:r w:rsidRPr="00B06DAB">
        <w:rPr>
          <w:rFonts w:eastAsiaTheme="minorHAnsi"/>
          <w:lang w:eastAsia="en-US"/>
        </w:rPr>
        <w:t>года, подпрограммы «Совершенствование потребительского рынка и системы защ</w:t>
      </w:r>
      <w:r w:rsidRPr="00B06DAB">
        <w:rPr>
          <w:rFonts w:eastAsiaTheme="minorHAnsi"/>
          <w:lang w:eastAsia="en-US"/>
        </w:rPr>
        <w:t>и</w:t>
      </w:r>
      <w:r w:rsidRPr="00B06DAB">
        <w:rPr>
          <w:rFonts w:eastAsiaTheme="minorHAnsi"/>
          <w:lang w:eastAsia="en-US"/>
        </w:rPr>
        <w:t>ты прав потребителей» государственной программы «Экономическое развитие Чувашской Республики», учтены внутренние и внешние факторы, влияющие на потребительский спрос населения.</w:t>
      </w:r>
    </w:p>
    <w:p w:rsidR="0093624D" w:rsidRPr="00422F38" w:rsidRDefault="0093624D" w:rsidP="0093624D">
      <w:pPr>
        <w:ind w:firstLine="709"/>
        <w:jc w:val="both"/>
        <w:rPr>
          <w:highlight w:val="yellow"/>
        </w:rPr>
      </w:pPr>
    </w:p>
    <w:p w:rsidR="00930FE0" w:rsidRPr="00B06DAB" w:rsidRDefault="00930FE0" w:rsidP="00930FE0">
      <w:pPr>
        <w:jc w:val="center"/>
        <w:rPr>
          <w:b/>
        </w:rPr>
      </w:pPr>
      <w:r w:rsidRPr="00B06DAB">
        <w:rPr>
          <w:b/>
        </w:rPr>
        <w:t>7. Внешнеэкономическая деятельность</w:t>
      </w:r>
    </w:p>
    <w:p w:rsidR="00930FE0" w:rsidRPr="00B06DAB" w:rsidRDefault="00930FE0" w:rsidP="00930FE0">
      <w:pPr>
        <w:pStyle w:val="30"/>
        <w:rPr>
          <w:i w:val="0"/>
          <w:sz w:val="24"/>
          <w:highlight w:val="yellow"/>
        </w:rPr>
      </w:pP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>Для достижения цели создания в базовых отраслях экономики высокопроизвод</w:t>
      </w:r>
      <w:r w:rsidRPr="00B06DAB">
        <w:rPr>
          <w:i w:val="0"/>
          <w:iCs w:val="0"/>
          <w:snapToGrid w:val="0"/>
          <w:sz w:val="24"/>
        </w:rPr>
        <w:t>и</w:t>
      </w:r>
      <w:r w:rsidRPr="00B06DAB">
        <w:rPr>
          <w:i w:val="0"/>
          <w:iCs w:val="0"/>
          <w:snapToGrid w:val="0"/>
          <w:sz w:val="24"/>
        </w:rPr>
        <w:t xml:space="preserve">тельного </w:t>
      </w:r>
      <w:proofErr w:type="spellStart"/>
      <w:r w:rsidRPr="00B06DAB">
        <w:rPr>
          <w:i w:val="0"/>
          <w:iCs w:val="0"/>
          <w:snapToGrid w:val="0"/>
          <w:sz w:val="24"/>
        </w:rPr>
        <w:t>экспортноориентированного</w:t>
      </w:r>
      <w:proofErr w:type="spellEnd"/>
      <w:r w:rsidRPr="00B06DAB">
        <w:rPr>
          <w:i w:val="0"/>
          <w:iCs w:val="0"/>
          <w:snapToGrid w:val="0"/>
          <w:sz w:val="24"/>
        </w:rPr>
        <w:t xml:space="preserve"> сектора разработаны региональные проекты Ч</w:t>
      </w:r>
      <w:r w:rsidRPr="00B06DAB">
        <w:rPr>
          <w:i w:val="0"/>
          <w:iCs w:val="0"/>
          <w:snapToGrid w:val="0"/>
          <w:sz w:val="24"/>
        </w:rPr>
        <w:t>у</w:t>
      </w:r>
      <w:r w:rsidRPr="00B06DAB">
        <w:rPr>
          <w:i w:val="0"/>
          <w:iCs w:val="0"/>
          <w:snapToGrid w:val="0"/>
          <w:sz w:val="24"/>
        </w:rPr>
        <w:t>вашской Республики, направленные на реализацию национального проекта «Междун</w:t>
      </w:r>
      <w:r w:rsidRPr="00B06DAB">
        <w:rPr>
          <w:i w:val="0"/>
          <w:iCs w:val="0"/>
          <w:snapToGrid w:val="0"/>
          <w:sz w:val="24"/>
        </w:rPr>
        <w:t>а</w:t>
      </w:r>
      <w:r w:rsidRPr="00B06DAB">
        <w:rPr>
          <w:i w:val="0"/>
          <w:iCs w:val="0"/>
          <w:snapToGrid w:val="0"/>
          <w:sz w:val="24"/>
        </w:rPr>
        <w:t>родная кооперация и экспорт» и федеральных проектов, входящих в его состав наци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>нальный проект «Международная кооперация и экспорт», включающий федеральные пр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>екты: «Системные меры содействия международной кооперации и экспорту»; «Промы</w:t>
      </w:r>
      <w:r w:rsidRPr="00B06DAB">
        <w:rPr>
          <w:i w:val="0"/>
          <w:iCs w:val="0"/>
          <w:snapToGrid w:val="0"/>
          <w:sz w:val="24"/>
        </w:rPr>
        <w:t>ш</w:t>
      </w:r>
      <w:r w:rsidRPr="00B06DAB">
        <w:rPr>
          <w:i w:val="0"/>
          <w:iCs w:val="0"/>
          <w:snapToGrid w:val="0"/>
          <w:sz w:val="24"/>
        </w:rPr>
        <w:t>ленный экспорт»; «Экспорт продукции АПК»; «Экспорт услуг».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>С 2018 года реализуется План мероприятий («дорожная карта») по внедрению в Чувашской Республике Стандарта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(Регионального</w:t>
      </w:r>
      <w:r w:rsidR="00D83540">
        <w:rPr>
          <w:i w:val="0"/>
          <w:iCs w:val="0"/>
          <w:snapToGrid w:val="0"/>
          <w:sz w:val="24"/>
        </w:rPr>
        <w:t xml:space="preserve"> экспортного стандарта) на 2018-</w:t>
      </w:r>
      <w:r w:rsidRPr="00B06DAB">
        <w:rPr>
          <w:i w:val="0"/>
          <w:iCs w:val="0"/>
          <w:snapToGrid w:val="0"/>
          <w:sz w:val="24"/>
        </w:rPr>
        <w:t>2020 годы. С 2020 году пл</w:t>
      </w:r>
      <w:r w:rsidRPr="00B06DAB">
        <w:rPr>
          <w:i w:val="0"/>
          <w:iCs w:val="0"/>
          <w:snapToGrid w:val="0"/>
          <w:sz w:val="24"/>
        </w:rPr>
        <w:t>а</w:t>
      </w:r>
      <w:r w:rsidRPr="00B06DAB">
        <w:rPr>
          <w:i w:val="0"/>
          <w:iCs w:val="0"/>
          <w:snapToGrid w:val="0"/>
          <w:sz w:val="24"/>
        </w:rPr>
        <w:t>нируется внедрение новой версии Регионального экспортного стандарта 2.0, который в настоящее время проходит апробацию в пилотных регионах. Реализация Регионального экспортного стандарта 2.0 нацелена на достижение показателя прироста количества ко</w:t>
      </w:r>
      <w:r w:rsidRPr="00B06DAB">
        <w:rPr>
          <w:i w:val="0"/>
          <w:iCs w:val="0"/>
          <w:snapToGrid w:val="0"/>
          <w:sz w:val="24"/>
        </w:rPr>
        <w:t>м</w:t>
      </w:r>
      <w:r w:rsidRPr="00B06DAB">
        <w:rPr>
          <w:i w:val="0"/>
          <w:iCs w:val="0"/>
          <w:snapToGrid w:val="0"/>
          <w:sz w:val="24"/>
        </w:rPr>
        <w:t>паний экспортеров, прежде всего, за счет вовлечения во внешнеторговую деятельность субъектов малого и среднего предпринимательства.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>В 2020 г. предусматривается оказание поддержки промышленным предприятиям республики, реализующим корпоративные программы повышения конкурентоспособн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 xml:space="preserve">сти </w:t>
      </w:r>
      <w:r w:rsidR="00A842D7">
        <w:rPr>
          <w:i w:val="0"/>
          <w:iCs w:val="0"/>
          <w:snapToGrid w:val="0"/>
          <w:sz w:val="24"/>
        </w:rPr>
        <w:t>(КППК). Заключено пять соглашен</w:t>
      </w:r>
      <w:r w:rsidRPr="00B06DAB">
        <w:rPr>
          <w:i w:val="0"/>
          <w:iCs w:val="0"/>
          <w:snapToGrid w:val="0"/>
          <w:sz w:val="24"/>
        </w:rPr>
        <w:t xml:space="preserve">ий между </w:t>
      </w:r>
      <w:proofErr w:type="spellStart"/>
      <w:r w:rsidRPr="00B06DAB">
        <w:rPr>
          <w:i w:val="0"/>
          <w:iCs w:val="0"/>
          <w:snapToGrid w:val="0"/>
          <w:sz w:val="24"/>
        </w:rPr>
        <w:t>Минпромторгом</w:t>
      </w:r>
      <w:proofErr w:type="spellEnd"/>
      <w:r w:rsidRPr="00B06DAB">
        <w:rPr>
          <w:i w:val="0"/>
          <w:iCs w:val="0"/>
          <w:snapToGrid w:val="0"/>
          <w:sz w:val="24"/>
        </w:rPr>
        <w:t xml:space="preserve"> России и промышле</w:t>
      </w:r>
      <w:r w:rsidRPr="00B06DAB">
        <w:rPr>
          <w:i w:val="0"/>
          <w:iCs w:val="0"/>
          <w:snapToGrid w:val="0"/>
          <w:sz w:val="24"/>
        </w:rPr>
        <w:t>н</w:t>
      </w:r>
      <w:r w:rsidRPr="00B06DAB">
        <w:rPr>
          <w:i w:val="0"/>
          <w:iCs w:val="0"/>
          <w:snapToGrid w:val="0"/>
          <w:sz w:val="24"/>
        </w:rPr>
        <w:t>ными предприятиями республики (ПАО «Химпром», ООО «</w:t>
      </w:r>
      <w:proofErr w:type="spellStart"/>
      <w:r w:rsidRPr="00B06DAB">
        <w:rPr>
          <w:i w:val="0"/>
          <w:iCs w:val="0"/>
          <w:snapToGrid w:val="0"/>
          <w:sz w:val="24"/>
        </w:rPr>
        <w:t>Перкарбонат</w:t>
      </w:r>
      <w:proofErr w:type="spellEnd"/>
      <w:r w:rsidRPr="00B06DAB">
        <w:rPr>
          <w:i w:val="0"/>
          <w:iCs w:val="0"/>
          <w:snapToGrid w:val="0"/>
          <w:sz w:val="24"/>
        </w:rPr>
        <w:t>», ООО «ПК «</w:t>
      </w:r>
      <w:proofErr w:type="spellStart"/>
      <w:r w:rsidRPr="00B06DAB">
        <w:rPr>
          <w:i w:val="0"/>
          <w:iCs w:val="0"/>
          <w:snapToGrid w:val="0"/>
          <w:sz w:val="24"/>
        </w:rPr>
        <w:t>Промтрактор</w:t>
      </w:r>
      <w:proofErr w:type="spellEnd"/>
      <w:r w:rsidRPr="00B06DAB">
        <w:rPr>
          <w:i w:val="0"/>
          <w:iCs w:val="0"/>
          <w:snapToGrid w:val="0"/>
          <w:sz w:val="24"/>
        </w:rPr>
        <w:t>», АО «ЧПО им. В.И. Чапаева», ООО «Энергия»), в соответствии с котор</w:t>
      </w:r>
      <w:r w:rsidRPr="00B06DAB">
        <w:rPr>
          <w:i w:val="0"/>
          <w:iCs w:val="0"/>
          <w:snapToGrid w:val="0"/>
          <w:sz w:val="24"/>
        </w:rPr>
        <w:t>ы</w:t>
      </w:r>
      <w:r w:rsidRPr="00B06DAB">
        <w:rPr>
          <w:i w:val="0"/>
          <w:iCs w:val="0"/>
          <w:snapToGrid w:val="0"/>
          <w:sz w:val="24"/>
        </w:rPr>
        <w:t>ми им будет предоставлен доступ к механизмам льготного кредитования (размер субсид</w:t>
      </w:r>
      <w:r w:rsidRPr="00B06DAB">
        <w:rPr>
          <w:i w:val="0"/>
          <w:iCs w:val="0"/>
          <w:snapToGrid w:val="0"/>
          <w:sz w:val="24"/>
        </w:rPr>
        <w:t>и</w:t>
      </w:r>
      <w:r w:rsidRPr="00B06DAB">
        <w:rPr>
          <w:i w:val="0"/>
          <w:iCs w:val="0"/>
          <w:snapToGrid w:val="0"/>
          <w:sz w:val="24"/>
        </w:rPr>
        <w:t xml:space="preserve">рованной процентной ставки составляет 4,5 </w:t>
      </w:r>
      <w:r w:rsidR="00BD7C03" w:rsidRPr="00BD7C03">
        <w:rPr>
          <w:bCs/>
          <w:i w:val="0"/>
          <w:sz w:val="24"/>
        </w:rPr>
        <w:t>процента</w:t>
      </w:r>
      <w:r w:rsidRPr="00B06DAB">
        <w:rPr>
          <w:i w:val="0"/>
          <w:iCs w:val="0"/>
          <w:snapToGrid w:val="0"/>
          <w:sz w:val="24"/>
        </w:rPr>
        <w:t>).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 xml:space="preserve">В связи с распространением </w:t>
      </w:r>
      <w:proofErr w:type="spellStart"/>
      <w:r w:rsidRPr="00B06DAB">
        <w:rPr>
          <w:i w:val="0"/>
          <w:iCs w:val="0"/>
          <w:snapToGrid w:val="0"/>
          <w:sz w:val="24"/>
        </w:rPr>
        <w:t>коронавирусной</w:t>
      </w:r>
      <w:proofErr w:type="spellEnd"/>
      <w:r w:rsidRPr="00B06DAB">
        <w:rPr>
          <w:i w:val="0"/>
          <w:iCs w:val="0"/>
          <w:snapToGrid w:val="0"/>
          <w:sz w:val="24"/>
        </w:rPr>
        <w:t xml:space="preserve"> инфекции происходят корректировки внешнеэкономической деятельности основных экспортеров, их участие в международных мероприятиях (многие перенесены на </w:t>
      </w:r>
      <w:r w:rsidRPr="00B06DAB">
        <w:rPr>
          <w:i w:val="0"/>
          <w:iCs w:val="0"/>
          <w:snapToGrid w:val="0"/>
          <w:sz w:val="24"/>
          <w:lang w:val="en-US"/>
        </w:rPr>
        <w:t>II</w:t>
      </w:r>
      <w:r w:rsidRPr="00B06DAB">
        <w:rPr>
          <w:i w:val="0"/>
          <w:iCs w:val="0"/>
          <w:snapToGrid w:val="0"/>
          <w:sz w:val="24"/>
        </w:rPr>
        <w:t xml:space="preserve"> полугодие 2020 года). 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>С начала 2020 года на зарубежных рынках возрос интерес к российским товарам, в первую очередь на пищевую продукцию – макароны, потребительскую продукцию долг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>го хранения, средства индивидуальной защиты и дезинфекции, лекарства и их компоне</w:t>
      </w:r>
      <w:r w:rsidRPr="00B06DAB">
        <w:rPr>
          <w:i w:val="0"/>
          <w:iCs w:val="0"/>
          <w:snapToGrid w:val="0"/>
          <w:sz w:val="24"/>
        </w:rPr>
        <w:t>н</w:t>
      </w:r>
      <w:r w:rsidRPr="00B06DAB">
        <w:rPr>
          <w:i w:val="0"/>
          <w:iCs w:val="0"/>
          <w:snapToGrid w:val="0"/>
          <w:sz w:val="24"/>
        </w:rPr>
        <w:t>ты, другую медицинскую технику и оборудование для диагностики. Резко возросла п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 xml:space="preserve">требность стран Латинской Америки, СНГ и Северной Африки в мобильных </w:t>
      </w:r>
      <w:proofErr w:type="spellStart"/>
      <w:r w:rsidRPr="00B06DAB">
        <w:rPr>
          <w:i w:val="0"/>
          <w:iCs w:val="0"/>
          <w:snapToGrid w:val="0"/>
          <w:sz w:val="24"/>
        </w:rPr>
        <w:t>противои</w:t>
      </w:r>
      <w:r w:rsidRPr="00B06DAB">
        <w:rPr>
          <w:i w:val="0"/>
          <w:iCs w:val="0"/>
          <w:snapToGrid w:val="0"/>
          <w:sz w:val="24"/>
        </w:rPr>
        <w:t>н</w:t>
      </w:r>
      <w:r w:rsidRPr="00B06DAB">
        <w:rPr>
          <w:i w:val="0"/>
          <w:iCs w:val="0"/>
          <w:snapToGrid w:val="0"/>
          <w:sz w:val="24"/>
        </w:rPr>
        <w:t>фекционных</w:t>
      </w:r>
      <w:proofErr w:type="spellEnd"/>
      <w:r w:rsidRPr="00B06DAB">
        <w:rPr>
          <w:i w:val="0"/>
          <w:iCs w:val="0"/>
          <w:snapToGrid w:val="0"/>
          <w:sz w:val="24"/>
        </w:rPr>
        <w:t xml:space="preserve"> отделениях модульного типа («</w:t>
      </w:r>
      <w:proofErr w:type="spellStart"/>
      <w:r w:rsidRPr="00B06DAB">
        <w:rPr>
          <w:i w:val="0"/>
          <w:iCs w:val="0"/>
          <w:snapToGrid w:val="0"/>
          <w:sz w:val="24"/>
        </w:rPr>
        <w:t>Шумерлинский</w:t>
      </w:r>
      <w:proofErr w:type="spellEnd"/>
      <w:r w:rsidRPr="00B06DAB">
        <w:rPr>
          <w:i w:val="0"/>
          <w:iCs w:val="0"/>
          <w:snapToGrid w:val="0"/>
          <w:sz w:val="24"/>
        </w:rPr>
        <w:t xml:space="preserve"> завод специализированных автомобилей»). Сейчас решаются вопросы об их изготовлении и  поставке.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>Также возросла потребность на химическую продукцию ПАО «Химпром» (изопр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 xml:space="preserve">пиловый спирт, перекись водорода, </w:t>
      </w:r>
      <w:proofErr w:type="spellStart"/>
      <w:r w:rsidRPr="00B06DAB">
        <w:rPr>
          <w:i w:val="0"/>
          <w:iCs w:val="0"/>
          <w:snapToGrid w:val="0"/>
          <w:sz w:val="24"/>
        </w:rPr>
        <w:t>гипохолит</w:t>
      </w:r>
      <w:proofErr w:type="spellEnd"/>
      <w:r w:rsidRPr="00B06DAB">
        <w:rPr>
          <w:i w:val="0"/>
          <w:iCs w:val="0"/>
          <w:snapToGrid w:val="0"/>
          <w:sz w:val="24"/>
        </w:rPr>
        <w:t xml:space="preserve"> кальция и натрия), весь объем данной пр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>дукции предприятия законтрактован на 3 месяца вперед.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>Для обеспечения условий ведения успешной экспортной деятельности предприят</w:t>
      </w:r>
      <w:r w:rsidRPr="00B06DAB">
        <w:rPr>
          <w:i w:val="0"/>
          <w:iCs w:val="0"/>
          <w:snapToGrid w:val="0"/>
          <w:sz w:val="24"/>
        </w:rPr>
        <w:t>и</w:t>
      </w:r>
      <w:r w:rsidRPr="00B06DAB">
        <w:rPr>
          <w:i w:val="0"/>
          <w:iCs w:val="0"/>
          <w:snapToGrid w:val="0"/>
          <w:sz w:val="24"/>
        </w:rPr>
        <w:t>ями Чувашии и повышения их уровня знаний в области внешнеэкономической деятельн</w:t>
      </w:r>
      <w:r w:rsidRPr="00B06DAB">
        <w:rPr>
          <w:i w:val="0"/>
          <w:iCs w:val="0"/>
          <w:snapToGrid w:val="0"/>
          <w:sz w:val="24"/>
        </w:rPr>
        <w:t>о</w:t>
      </w:r>
      <w:r w:rsidRPr="00B06DAB">
        <w:rPr>
          <w:i w:val="0"/>
          <w:iCs w:val="0"/>
          <w:snapToGrid w:val="0"/>
          <w:sz w:val="24"/>
        </w:rPr>
        <w:t xml:space="preserve">сти организовано обучение </w:t>
      </w:r>
      <w:proofErr w:type="spellStart"/>
      <w:r w:rsidRPr="00B06DAB">
        <w:rPr>
          <w:i w:val="0"/>
          <w:iCs w:val="0"/>
          <w:snapToGrid w:val="0"/>
          <w:sz w:val="24"/>
        </w:rPr>
        <w:t>экспортноориентированных</w:t>
      </w:r>
      <w:proofErr w:type="spellEnd"/>
      <w:r w:rsidRPr="00B06DAB">
        <w:rPr>
          <w:i w:val="0"/>
          <w:iCs w:val="0"/>
          <w:snapToGrid w:val="0"/>
          <w:sz w:val="24"/>
        </w:rPr>
        <w:t xml:space="preserve"> предприятий по образовательной программе Школы экспорта РЭЦ. 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r w:rsidRPr="00B06DAB">
        <w:rPr>
          <w:i w:val="0"/>
          <w:iCs w:val="0"/>
          <w:snapToGrid w:val="0"/>
          <w:sz w:val="24"/>
        </w:rPr>
        <w:t>Реализация мероприятий, направленных на рост внешнеторговой активности орг</w:t>
      </w:r>
      <w:r w:rsidRPr="00B06DAB">
        <w:rPr>
          <w:i w:val="0"/>
          <w:iCs w:val="0"/>
          <w:snapToGrid w:val="0"/>
          <w:sz w:val="24"/>
        </w:rPr>
        <w:t>а</w:t>
      </w:r>
      <w:r w:rsidRPr="00B06DAB">
        <w:rPr>
          <w:i w:val="0"/>
          <w:iCs w:val="0"/>
          <w:snapToGrid w:val="0"/>
          <w:sz w:val="24"/>
        </w:rPr>
        <w:t>низаций республики, позволит достичь следующих показателей:</w:t>
      </w:r>
    </w:p>
    <w:p w:rsidR="00D85524" w:rsidRPr="00B06DAB" w:rsidRDefault="00D85524" w:rsidP="00D85524">
      <w:pPr>
        <w:pStyle w:val="30"/>
        <w:rPr>
          <w:i w:val="0"/>
          <w:iCs w:val="0"/>
          <w:snapToGrid w:val="0"/>
          <w:sz w:val="24"/>
        </w:rPr>
      </w:pPr>
      <w:proofErr w:type="gramStart"/>
      <w:r w:rsidRPr="00B06DAB">
        <w:rPr>
          <w:i w:val="0"/>
          <w:iCs w:val="0"/>
          <w:snapToGrid w:val="0"/>
          <w:sz w:val="24"/>
        </w:rPr>
        <w:t>объем экспорта в 2020 году – 2</w:t>
      </w:r>
      <w:r w:rsidR="002D177D" w:rsidRPr="00B06DAB">
        <w:rPr>
          <w:i w:val="0"/>
          <w:iCs w:val="0"/>
          <w:snapToGrid w:val="0"/>
          <w:sz w:val="24"/>
        </w:rPr>
        <w:t>05</w:t>
      </w:r>
      <w:r w:rsidRPr="00B06DAB">
        <w:rPr>
          <w:i w:val="0"/>
          <w:iCs w:val="0"/>
          <w:snapToGrid w:val="0"/>
          <w:sz w:val="24"/>
        </w:rPr>
        <w:t xml:space="preserve">,2 млн. долл. США, </w:t>
      </w:r>
      <w:r w:rsidR="0010070A" w:rsidRPr="00B06DAB">
        <w:rPr>
          <w:i w:val="0"/>
          <w:iCs w:val="0"/>
          <w:snapToGrid w:val="0"/>
          <w:sz w:val="24"/>
        </w:rPr>
        <w:t xml:space="preserve">по базовому варианту </w:t>
      </w:r>
      <w:r w:rsidRPr="00B06DAB">
        <w:rPr>
          <w:i w:val="0"/>
          <w:iCs w:val="0"/>
          <w:snapToGrid w:val="0"/>
          <w:sz w:val="24"/>
        </w:rPr>
        <w:t>в 2021</w:t>
      </w:r>
      <w:r w:rsidR="00940462">
        <w:rPr>
          <w:i w:val="0"/>
          <w:iCs w:val="0"/>
          <w:snapToGrid w:val="0"/>
          <w:sz w:val="24"/>
        </w:rPr>
        <w:t> </w:t>
      </w:r>
      <w:r w:rsidRPr="00B06DAB">
        <w:rPr>
          <w:i w:val="0"/>
          <w:iCs w:val="0"/>
          <w:snapToGrid w:val="0"/>
          <w:sz w:val="24"/>
        </w:rPr>
        <w:t>году – 2</w:t>
      </w:r>
      <w:r w:rsidR="002D177D" w:rsidRPr="00B06DAB">
        <w:rPr>
          <w:i w:val="0"/>
          <w:iCs w:val="0"/>
          <w:snapToGrid w:val="0"/>
          <w:sz w:val="24"/>
        </w:rPr>
        <w:t>17,1</w:t>
      </w:r>
      <w:r w:rsidRPr="00B06DAB">
        <w:rPr>
          <w:i w:val="0"/>
          <w:iCs w:val="0"/>
          <w:snapToGrid w:val="0"/>
          <w:sz w:val="24"/>
        </w:rPr>
        <w:t xml:space="preserve"> млн. долл. США, в 2022 году – 2</w:t>
      </w:r>
      <w:r w:rsidR="002D177D" w:rsidRPr="00B06DAB">
        <w:rPr>
          <w:i w:val="0"/>
          <w:iCs w:val="0"/>
          <w:snapToGrid w:val="0"/>
          <w:sz w:val="24"/>
        </w:rPr>
        <w:t>29,7</w:t>
      </w:r>
      <w:r w:rsidRPr="00B06DAB">
        <w:rPr>
          <w:i w:val="0"/>
          <w:iCs w:val="0"/>
          <w:snapToGrid w:val="0"/>
          <w:sz w:val="24"/>
        </w:rPr>
        <w:t xml:space="preserve"> млн. долл. США, в 2023 году – 2</w:t>
      </w:r>
      <w:r w:rsidR="002D177D" w:rsidRPr="00B06DAB">
        <w:rPr>
          <w:i w:val="0"/>
          <w:iCs w:val="0"/>
          <w:snapToGrid w:val="0"/>
          <w:sz w:val="24"/>
        </w:rPr>
        <w:t>43</w:t>
      </w:r>
      <w:r w:rsidR="0010070A" w:rsidRPr="00B06DAB">
        <w:rPr>
          <w:i w:val="0"/>
          <w:iCs w:val="0"/>
          <w:snapToGrid w:val="0"/>
          <w:sz w:val="24"/>
        </w:rPr>
        <w:t>,0</w:t>
      </w:r>
      <w:r w:rsidRPr="00B06DAB">
        <w:rPr>
          <w:i w:val="0"/>
          <w:iCs w:val="0"/>
          <w:snapToGrid w:val="0"/>
          <w:sz w:val="24"/>
        </w:rPr>
        <w:t xml:space="preserve"> млн. долл. США;</w:t>
      </w:r>
      <w:proofErr w:type="gramEnd"/>
    </w:p>
    <w:p w:rsidR="00D85524" w:rsidRDefault="00D85524" w:rsidP="00D85524">
      <w:pPr>
        <w:pStyle w:val="30"/>
        <w:rPr>
          <w:i w:val="0"/>
          <w:iCs w:val="0"/>
          <w:snapToGrid w:val="0"/>
          <w:sz w:val="24"/>
        </w:rPr>
      </w:pPr>
    </w:p>
    <w:p w:rsidR="00930FE0" w:rsidRPr="002F6C5B" w:rsidRDefault="00930FE0" w:rsidP="00930FE0">
      <w:pPr>
        <w:jc w:val="center"/>
        <w:rPr>
          <w:b/>
        </w:rPr>
      </w:pPr>
      <w:r w:rsidRPr="002F6C5B">
        <w:rPr>
          <w:b/>
        </w:rPr>
        <w:t>Динамика экспорта, млн. долл. США</w:t>
      </w:r>
    </w:p>
    <w:p w:rsidR="00930FE0" w:rsidRPr="00663426" w:rsidRDefault="00930FE0" w:rsidP="00930FE0">
      <w:pPr>
        <w:ind w:firstLine="709"/>
        <w:jc w:val="both"/>
        <w:rPr>
          <w:sz w:val="2"/>
          <w:highlight w:val="yellow"/>
        </w:rPr>
      </w:pPr>
      <w:r w:rsidRPr="00663426">
        <w:rPr>
          <w:noProof/>
          <w:highlight w:val="yellow"/>
          <w:vertAlign w:val="superscript"/>
        </w:rPr>
        <w:drawing>
          <wp:anchor distT="0" distB="0" distL="114300" distR="114300" simplePos="0" relativeHeight="251659264" behindDoc="0" locked="0" layoutInCell="1" allowOverlap="1" wp14:anchorId="50DEC18D" wp14:editId="0CB429D3">
            <wp:simplePos x="0" y="0"/>
            <wp:positionH relativeFrom="column">
              <wp:posOffset>99695</wp:posOffset>
            </wp:positionH>
            <wp:positionV relativeFrom="paragraph">
              <wp:posOffset>71120</wp:posOffset>
            </wp:positionV>
            <wp:extent cx="5581650" cy="2253615"/>
            <wp:effectExtent l="0" t="0" r="0" b="0"/>
            <wp:wrapSquare wrapText="bothSides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FE0" w:rsidRPr="00B06DAB" w:rsidRDefault="0010070A" w:rsidP="00930FE0">
      <w:pPr>
        <w:ind w:firstLine="709"/>
        <w:jc w:val="both"/>
      </w:pPr>
      <w:proofErr w:type="gramStart"/>
      <w:r w:rsidRPr="00B06DAB">
        <w:t xml:space="preserve">объем импорта в 2020 году – 301,5 млн. долл. США, </w:t>
      </w:r>
      <w:r w:rsidR="00FE3736" w:rsidRPr="00B06DAB">
        <w:t xml:space="preserve">по базовому варианту </w:t>
      </w:r>
      <w:r w:rsidRPr="00B06DAB">
        <w:t>в 2021</w:t>
      </w:r>
      <w:r w:rsidR="00A555D6">
        <w:t> </w:t>
      </w:r>
      <w:r w:rsidRPr="00B06DAB">
        <w:t>году – 321,1 млн. долл. США, в 2022 году – 34</w:t>
      </w:r>
      <w:r w:rsidR="00FE3736" w:rsidRPr="00B06DAB">
        <w:t>2,0</w:t>
      </w:r>
      <w:r w:rsidRPr="00B06DAB">
        <w:t xml:space="preserve"> млн. долл. США, в 2023 году – 368,6 млн. долл. США.</w:t>
      </w:r>
      <w:proofErr w:type="gramEnd"/>
    </w:p>
    <w:p w:rsidR="0010070A" w:rsidRDefault="0010070A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Default="005A00BB" w:rsidP="00930FE0">
      <w:pPr>
        <w:ind w:firstLine="709"/>
        <w:jc w:val="both"/>
        <w:rPr>
          <w:highlight w:val="yellow"/>
        </w:rPr>
      </w:pPr>
    </w:p>
    <w:p w:rsidR="005A00BB" w:rsidRPr="00B06DAB" w:rsidRDefault="005A00BB" w:rsidP="00930FE0">
      <w:pPr>
        <w:ind w:firstLine="709"/>
        <w:jc w:val="both"/>
        <w:rPr>
          <w:highlight w:val="yellow"/>
        </w:rPr>
      </w:pPr>
    </w:p>
    <w:p w:rsidR="00930FE0" w:rsidRPr="00B06DAB" w:rsidRDefault="00930FE0" w:rsidP="00930FE0">
      <w:pPr>
        <w:jc w:val="center"/>
        <w:rPr>
          <w:b/>
        </w:rPr>
      </w:pPr>
      <w:r w:rsidRPr="00B06DAB">
        <w:rPr>
          <w:b/>
        </w:rPr>
        <w:t xml:space="preserve">Динамика импорта, млн. долл. США </w:t>
      </w:r>
    </w:p>
    <w:p w:rsidR="00930FE0" w:rsidRPr="00B06DAB" w:rsidRDefault="00930FE0" w:rsidP="00930FE0"/>
    <w:p w:rsidR="00930FE0" w:rsidRPr="002F6C5B" w:rsidRDefault="00930FE0" w:rsidP="00930FE0">
      <w:pPr>
        <w:jc w:val="center"/>
        <w:rPr>
          <w:b/>
        </w:rPr>
      </w:pPr>
      <w:r w:rsidRPr="002F6C5B">
        <w:rPr>
          <w:noProof/>
        </w:rPr>
        <w:drawing>
          <wp:inline distT="0" distB="0" distL="0" distR="0" wp14:anchorId="0C93A600" wp14:editId="1754006E">
            <wp:extent cx="5656521" cy="2147777"/>
            <wp:effectExtent l="0" t="0" r="0" b="0"/>
            <wp:docPr id="1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0FE0" w:rsidRPr="00663426" w:rsidRDefault="00930FE0" w:rsidP="00930FE0">
      <w:pPr>
        <w:jc w:val="center"/>
        <w:rPr>
          <w:b/>
          <w:highlight w:val="yellow"/>
        </w:rPr>
      </w:pPr>
    </w:p>
    <w:p w:rsidR="008432F3" w:rsidRPr="00B06DAB" w:rsidRDefault="00930FE0" w:rsidP="008432F3">
      <w:pPr>
        <w:jc w:val="center"/>
        <w:rPr>
          <w:b/>
          <w:bCs/>
        </w:rPr>
      </w:pPr>
      <w:r w:rsidRPr="00B06DAB">
        <w:rPr>
          <w:b/>
          <w:bCs/>
        </w:rPr>
        <w:t xml:space="preserve">8. Малое и среднее предпринимательство, </w:t>
      </w:r>
    </w:p>
    <w:p w:rsidR="00930FE0" w:rsidRPr="00B06DAB" w:rsidRDefault="00930FE0" w:rsidP="008432F3">
      <w:pPr>
        <w:jc w:val="center"/>
        <w:rPr>
          <w:b/>
          <w:bCs/>
        </w:rPr>
      </w:pPr>
      <w:r w:rsidRPr="00B06DAB">
        <w:rPr>
          <w:b/>
          <w:bCs/>
        </w:rPr>
        <w:t xml:space="preserve">включая </w:t>
      </w:r>
      <w:proofErr w:type="spellStart"/>
      <w:r w:rsidRPr="00B06DAB">
        <w:rPr>
          <w:b/>
          <w:bCs/>
        </w:rPr>
        <w:t>микропредприятия</w:t>
      </w:r>
      <w:proofErr w:type="spellEnd"/>
    </w:p>
    <w:p w:rsidR="00DB4282" w:rsidRPr="00B06DAB" w:rsidRDefault="00DB4282" w:rsidP="008F6798">
      <w:pPr>
        <w:ind w:firstLine="709"/>
        <w:jc w:val="center"/>
        <w:rPr>
          <w:b/>
          <w:bCs/>
        </w:rPr>
      </w:pPr>
    </w:p>
    <w:p w:rsidR="00DB4282" w:rsidRPr="00B06DAB" w:rsidRDefault="00DB4282" w:rsidP="008F6798">
      <w:pPr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Сфера малого и среднего предпринимательства наиболее пострадала </w:t>
      </w:r>
      <w:r w:rsidR="008F6798" w:rsidRPr="00B06DAB">
        <w:rPr>
          <w:rFonts w:eastAsiaTheme="minorHAnsi"/>
          <w:lang w:eastAsia="en-US"/>
        </w:rPr>
        <w:t>от огранич</w:t>
      </w:r>
      <w:r w:rsidR="008F6798" w:rsidRPr="00B06DAB">
        <w:rPr>
          <w:rFonts w:eastAsiaTheme="minorHAnsi"/>
          <w:lang w:eastAsia="en-US"/>
        </w:rPr>
        <w:t>е</w:t>
      </w:r>
      <w:r w:rsidR="008F6798" w:rsidRPr="00B06DAB">
        <w:rPr>
          <w:rFonts w:eastAsiaTheme="minorHAnsi"/>
          <w:lang w:eastAsia="en-US"/>
        </w:rPr>
        <w:t>ний</w:t>
      </w:r>
      <w:r w:rsidRPr="00B06DAB">
        <w:rPr>
          <w:rFonts w:eastAsiaTheme="minorHAnsi"/>
          <w:lang w:eastAsia="en-US"/>
        </w:rPr>
        <w:t>, вызванн</w:t>
      </w:r>
      <w:r w:rsidR="008F6798" w:rsidRPr="00B06DAB">
        <w:rPr>
          <w:rFonts w:eastAsiaTheme="minorHAnsi"/>
          <w:lang w:eastAsia="en-US"/>
        </w:rPr>
        <w:t>ых</w:t>
      </w:r>
      <w:r w:rsidRPr="00B06DAB">
        <w:rPr>
          <w:rFonts w:eastAsiaTheme="minorHAnsi"/>
          <w:lang w:eastAsia="en-US"/>
        </w:rPr>
        <w:t xml:space="preserve"> распространением новой </w:t>
      </w:r>
      <w:proofErr w:type="spellStart"/>
      <w:r w:rsidRPr="00B06DAB">
        <w:rPr>
          <w:rFonts w:eastAsiaTheme="minorHAnsi"/>
          <w:lang w:eastAsia="en-US"/>
        </w:rPr>
        <w:t>коронавирусной</w:t>
      </w:r>
      <w:proofErr w:type="spellEnd"/>
      <w:r w:rsidRPr="00B06DAB">
        <w:rPr>
          <w:rFonts w:eastAsiaTheme="minorHAnsi"/>
          <w:lang w:eastAsia="en-US"/>
        </w:rPr>
        <w:t xml:space="preserve"> инфекции.</w:t>
      </w:r>
    </w:p>
    <w:p w:rsidR="00DB4282" w:rsidRPr="00B06DAB" w:rsidRDefault="00DB4282" w:rsidP="00DB4282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proofErr w:type="gramStart"/>
      <w:r w:rsidRPr="00B06DAB">
        <w:rPr>
          <w:rFonts w:eastAsiaTheme="minorHAnsi"/>
          <w:lang w:eastAsia="en-US"/>
        </w:rPr>
        <w:t xml:space="preserve">К отраслям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B06DAB">
        <w:rPr>
          <w:rFonts w:eastAsiaTheme="minorHAnsi"/>
          <w:lang w:eastAsia="en-US"/>
        </w:rPr>
        <w:t>коронавирусной</w:t>
      </w:r>
      <w:proofErr w:type="spellEnd"/>
      <w:r w:rsidRPr="00B06DAB">
        <w:rPr>
          <w:rFonts w:eastAsiaTheme="minorHAnsi"/>
          <w:lang w:eastAsia="en-US"/>
        </w:rPr>
        <w:t xml:space="preserve"> инфекции, отнесены автопер</w:t>
      </w:r>
      <w:r w:rsidRPr="00B06DAB">
        <w:rPr>
          <w:rFonts w:eastAsiaTheme="minorHAnsi"/>
          <w:lang w:eastAsia="en-US"/>
        </w:rPr>
        <w:t>е</w:t>
      </w:r>
      <w:r w:rsidRPr="00B06DAB">
        <w:rPr>
          <w:rFonts w:eastAsiaTheme="minorHAnsi"/>
          <w:lang w:eastAsia="en-US"/>
        </w:rPr>
        <w:t>возки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культура, организация досуга и развлечений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физкультурно-оздоровительная де</w:t>
      </w:r>
      <w:r w:rsidRPr="00B06DAB">
        <w:rPr>
          <w:rFonts w:eastAsiaTheme="minorHAnsi"/>
          <w:lang w:eastAsia="en-US"/>
        </w:rPr>
        <w:t>я</w:t>
      </w:r>
      <w:r w:rsidRPr="00B06DAB">
        <w:rPr>
          <w:rFonts w:eastAsiaTheme="minorHAnsi"/>
          <w:lang w:eastAsia="en-US"/>
        </w:rPr>
        <w:t>тельность и спорт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деятельность туристических агентств и прочих организаций, пред</w:t>
      </w:r>
      <w:r w:rsidRPr="00B06DAB">
        <w:rPr>
          <w:rFonts w:eastAsiaTheme="minorHAnsi"/>
          <w:lang w:eastAsia="en-US"/>
        </w:rPr>
        <w:t>о</w:t>
      </w:r>
      <w:r w:rsidRPr="00B06DAB">
        <w:rPr>
          <w:rFonts w:eastAsiaTheme="minorHAnsi"/>
          <w:lang w:eastAsia="en-US"/>
        </w:rPr>
        <w:t>ставляющих услуги в сфере туризма</w:t>
      </w:r>
      <w:r w:rsidR="00A842D7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гостиничный бизнес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общественное питание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де</w:t>
      </w:r>
      <w:r w:rsidRPr="00B06DAB">
        <w:rPr>
          <w:rFonts w:eastAsiaTheme="minorHAnsi"/>
          <w:lang w:eastAsia="en-US"/>
        </w:rPr>
        <w:t>я</w:t>
      </w:r>
      <w:r w:rsidRPr="00B06DAB">
        <w:rPr>
          <w:rFonts w:eastAsiaTheme="minorHAnsi"/>
          <w:lang w:eastAsia="en-US"/>
        </w:rPr>
        <w:t>тельность организаций дополнительного образования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деятельность по организации ко</w:t>
      </w:r>
      <w:r w:rsidRPr="00B06DAB">
        <w:rPr>
          <w:rFonts w:eastAsiaTheme="minorHAnsi"/>
          <w:lang w:eastAsia="en-US"/>
        </w:rPr>
        <w:t>н</w:t>
      </w:r>
      <w:r w:rsidRPr="00B06DAB">
        <w:rPr>
          <w:rFonts w:eastAsiaTheme="minorHAnsi"/>
          <w:lang w:eastAsia="en-US"/>
        </w:rPr>
        <w:t>ференций и выставок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бытовые услуги населению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деятельность в области здравоохран</w:t>
      </w:r>
      <w:r w:rsidRPr="00B06DAB">
        <w:rPr>
          <w:rFonts w:eastAsiaTheme="minorHAnsi"/>
          <w:lang w:eastAsia="en-US"/>
        </w:rPr>
        <w:t>е</w:t>
      </w:r>
      <w:r w:rsidRPr="00B06DAB">
        <w:rPr>
          <w:rFonts w:eastAsiaTheme="minorHAnsi"/>
          <w:lang w:eastAsia="en-US"/>
        </w:rPr>
        <w:t>ния</w:t>
      </w:r>
      <w:r w:rsidR="008F6798" w:rsidRPr="00B06DAB">
        <w:rPr>
          <w:rFonts w:eastAsiaTheme="minorHAnsi"/>
          <w:lang w:eastAsia="en-US"/>
        </w:rPr>
        <w:t>,</w:t>
      </w:r>
      <w:r w:rsidRPr="00B06DAB">
        <w:rPr>
          <w:rFonts w:eastAsiaTheme="minorHAnsi"/>
          <w:lang w:eastAsia="en-US"/>
        </w:rPr>
        <w:t xml:space="preserve"> розничная</w:t>
      </w:r>
      <w:proofErr w:type="gramEnd"/>
      <w:r w:rsidRPr="00B06DAB">
        <w:rPr>
          <w:rFonts w:eastAsiaTheme="minorHAnsi"/>
          <w:lang w:eastAsia="en-US"/>
        </w:rPr>
        <w:t xml:space="preserve"> торговля непродовольственными товарами.</w:t>
      </w:r>
    </w:p>
    <w:p w:rsidR="00DB4282" w:rsidRPr="00B06DAB" w:rsidRDefault="00DB4282" w:rsidP="00DB4282">
      <w:pPr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>Доля малых и средних предприятий, осуществляющих деятельность в данных о</w:t>
      </w:r>
      <w:r w:rsidRPr="00B06DAB">
        <w:rPr>
          <w:rFonts w:eastAsiaTheme="minorHAnsi"/>
          <w:lang w:eastAsia="en-US"/>
        </w:rPr>
        <w:t>т</w:t>
      </w:r>
      <w:r w:rsidRPr="00B06DAB">
        <w:rPr>
          <w:rFonts w:eastAsiaTheme="minorHAnsi"/>
          <w:lang w:eastAsia="en-US"/>
        </w:rPr>
        <w:t>раслях экономики, из числа зарегистрированных составляет около 13</w:t>
      </w:r>
      <w:r w:rsidR="004F07F1" w:rsidRPr="004F07F1">
        <w:rPr>
          <w:bCs/>
        </w:rPr>
        <w:t xml:space="preserve"> </w:t>
      </w:r>
      <w:r w:rsidR="004F07F1">
        <w:rPr>
          <w:bCs/>
        </w:rPr>
        <w:t>процентов</w:t>
      </w:r>
      <w:r w:rsidRPr="00B06DAB">
        <w:rPr>
          <w:rFonts w:eastAsiaTheme="minorHAnsi"/>
          <w:lang w:eastAsia="en-US"/>
        </w:rPr>
        <w:t xml:space="preserve"> от общ</w:t>
      </w:r>
      <w:r w:rsidRPr="00B06DAB">
        <w:rPr>
          <w:rFonts w:eastAsiaTheme="minorHAnsi"/>
          <w:lang w:eastAsia="en-US"/>
        </w:rPr>
        <w:t>е</w:t>
      </w:r>
      <w:r w:rsidRPr="00B06DAB">
        <w:rPr>
          <w:rFonts w:eastAsiaTheme="minorHAnsi"/>
          <w:lang w:eastAsia="en-US"/>
        </w:rPr>
        <w:t>го количества (2,0 тыс. юридических лиц). Общая численность работников данных пре</w:t>
      </w:r>
      <w:r w:rsidRPr="00B06DAB">
        <w:rPr>
          <w:rFonts w:eastAsiaTheme="minorHAnsi"/>
          <w:lang w:eastAsia="en-US"/>
        </w:rPr>
        <w:t>д</w:t>
      </w:r>
      <w:r w:rsidRPr="00B06DAB">
        <w:rPr>
          <w:rFonts w:eastAsiaTheme="minorHAnsi"/>
          <w:lang w:eastAsia="en-US"/>
        </w:rPr>
        <w:t>приятий составляет 13,4 тыс</w:t>
      </w:r>
      <w:r w:rsidR="008F6798" w:rsidRPr="00B06DAB">
        <w:rPr>
          <w:rFonts w:eastAsiaTheme="minorHAnsi"/>
          <w:lang w:eastAsia="en-US"/>
        </w:rPr>
        <w:t>.</w:t>
      </w:r>
      <w:r w:rsidRPr="00B06DAB">
        <w:rPr>
          <w:rFonts w:eastAsiaTheme="minorHAnsi"/>
          <w:lang w:eastAsia="en-US"/>
        </w:rPr>
        <w:t xml:space="preserve"> человек.</w:t>
      </w:r>
    </w:p>
    <w:p w:rsidR="00DB4282" w:rsidRPr="00B06DAB" w:rsidRDefault="00DB4282" w:rsidP="00DB4282">
      <w:pPr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proofErr w:type="gramStart"/>
      <w:r w:rsidRPr="00B06DAB">
        <w:rPr>
          <w:rFonts w:eastAsiaTheme="minorHAnsi"/>
          <w:lang w:eastAsia="en-US"/>
        </w:rPr>
        <w:t xml:space="preserve">С учетом этого прогнозируется, что количество малых и средних предприятий, включая </w:t>
      </w:r>
      <w:proofErr w:type="spellStart"/>
      <w:r w:rsidRPr="00B06DAB">
        <w:rPr>
          <w:rFonts w:eastAsiaTheme="minorHAnsi"/>
          <w:lang w:eastAsia="en-US"/>
        </w:rPr>
        <w:t>микропредприятия</w:t>
      </w:r>
      <w:proofErr w:type="spellEnd"/>
      <w:r w:rsidRPr="00B06DAB">
        <w:rPr>
          <w:rFonts w:eastAsiaTheme="minorHAnsi"/>
          <w:lang w:eastAsia="en-US"/>
        </w:rPr>
        <w:t>, в 2020 году составит 14242 единицы (или 95</w:t>
      </w:r>
      <w:r w:rsidR="00940462" w:rsidRPr="00940462">
        <w:rPr>
          <w:bCs/>
        </w:rPr>
        <w:t xml:space="preserve"> </w:t>
      </w:r>
      <w:r w:rsidR="00940462">
        <w:rPr>
          <w:bCs/>
        </w:rPr>
        <w:t>процентов</w:t>
      </w:r>
      <w:r w:rsidRPr="00B06DAB">
        <w:rPr>
          <w:rFonts w:eastAsiaTheme="minorHAnsi"/>
          <w:lang w:eastAsia="en-US"/>
        </w:rPr>
        <w:t xml:space="preserve"> к уровню 2019 года), среднесписочная численность работников на предприятиях малого и среднего предпринимательства (включая </w:t>
      </w:r>
      <w:proofErr w:type="spellStart"/>
      <w:r w:rsidRPr="00B06DAB">
        <w:rPr>
          <w:rFonts w:eastAsiaTheme="minorHAnsi"/>
          <w:lang w:eastAsia="en-US"/>
        </w:rPr>
        <w:t>микропредприятия</w:t>
      </w:r>
      <w:proofErr w:type="spellEnd"/>
      <w:r w:rsidRPr="00B06DAB">
        <w:rPr>
          <w:rFonts w:eastAsiaTheme="minorHAnsi"/>
          <w:lang w:eastAsia="en-US"/>
        </w:rPr>
        <w:t>) (без внешних совместит</w:t>
      </w:r>
      <w:r w:rsidRPr="00B06DAB">
        <w:rPr>
          <w:rFonts w:eastAsiaTheme="minorHAnsi"/>
          <w:lang w:eastAsia="en-US"/>
        </w:rPr>
        <w:t>е</w:t>
      </w:r>
      <w:r w:rsidRPr="00B06DAB">
        <w:rPr>
          <w:rFonts w:eastAsiaTheme="minorHAnsi"/>
          <w:lang w:eastAsia="en-US"/>
        </w:rPr>
        <w:t>лей) составит 80,9 тыс</w:t>
      </w:r>
      <w:r w:rsidR="008F6798" w:rsidRPr="00B06DAB">
        <w:rPr>
          <w:rFonts w:eastAsiaTheme="minorHAnsi"/>
          <w:lang w:eastAsia="en-US"/>
        </w:rPr>
        <w:t>. человек</w:t>
      </w:r>
      <w:r w:rsidRPr="00B06DAB">
        <w:rPr>
          <w:rFonts w:eastAsiaTheme="minorHAnsi"/>
          <w:lang w:eastAsia="en-US"/>
        </w:rPr>
        <w:t xml:space="preserve"> (или 95</w:t>
      </w:r>
      <w:r w:rsidR="00940462" w:rsidRPr="00940462">
        <w:rPr>
          <w:bCs/>
        </w:rPr>
        <w:t xml:space="preserve"> </w:t>
      </w:r>
      <w:r w:rsidR="00940462">
        <w:rPr>
          <w:bCs/>
        </w:rPr>
        <w:t>процентов</w:t>
      </w:r>
      <w:r w:rsidRPr="00B06DAB">
        <w:rPr>
          <w:rFonts w:eastAsiaTheme="minorHAnsi"/>
          <w:lang w:eastAsia="en-US"/>
        </w:rPr>
        <w:t xml:space="preserve"> к уровню 2019 года), оборот малых и средних предприятий, включая </w:t>
      </w:r>
      <w:proofErr w:type="spellStart"/>
      <w:r w:rsidRPr="00B06DAB">
        <w:rPr>
          <w:rFonts w:eastAsiaTheme="minorHAnsi"/>
          <w:lang w:eastAsia="en-US"/>
        </w:rPr>
        <w:t>микропредприятия</w:t>
      </w:r>
      <w:proofErr w:type="spellEnd"/>
      <w:r w:rsidRPr="00B06DAB">
        <w:rPr>
          <w:rFonts w:eastAsiaTheme="minorHAnsi"/>
          <w:lang w:eastAsia="en-US"/>
        </w:rPr>
        <w:t>, составит 237,0 млрд</w:t>
      </w:r>
      <w:proofErr w:type="gramEnd"/>
      <w:r w:rsidRPr="00B06DAB">
        <w:rPr>
          <w:rFonts w:eastAsiaTheme="minorHAnsi"/>
          <w:lang w:eastAsia="en-US"/>
        </w:rPr>
        <w:t>. рублей (или 95</w:t>
      </w:r>
      <w:r w:rsidR="00940462">
        <w:rPr>
          <w:bCs/>
        </w:rPr>
        <w:t> процентов</w:t>
      </w:r>
      <w:r w:rsidRPr="00B06DAB">
        <w:rPr>
          <w:rFonts w:eastAsiaTheme="minorHAnsi"/>
          <w:lang w:eastAsia="en-US"/>
        </w:rPr>
        <w:t xml:space="preserve"> к уровню 2019 года).</w:t>
      </w:r>
    </w:p>
    <w:p w:rsidR="00DB4282" w:rsidRPr="00B06DAB" w:rsidRDefault="00DB4282" w:rsidP="00DB428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Принимаемые меры поддержки бизнеса, занятого в пострадавших от </w:t>
      </w:r>
      <w:proofErr w:type="spellStart"/>
      <w:r w:rsidRPr="00B06DAB">
        <w:rPr>
          <w:rFonts w:eastAsiaTheme="minorHAnsi"/>
          <w:lang w:eastAsia="en-US"/>
        </w:rPr>
        <w:t>коронавируса</w:t>
      </w:r>
      <w:proofErr w:type="spellEnd"/>
      <w:r w:rsidRPr="00B06DAB">
        <w:rPr>
          <w:rFonts w:eastAsiaTheme="minorHAnsi"/>
          <w:lang w:eastAsia="en-US"/>
        </w:rPr>
        <w:t xml:space="preserve"> отраслях, обеспечат</w:t>
      </w:r>
      <w:r w:rsidR="008F6798" w:rsidRPr="00B06DAB">
        <w:rPr>
          <w:rFonts w:eastAsiaTheme="minorHAnsi"/>
          <w:lang w:eastAsia="en-US"/>
        </w:rPr>
        <w:t xml:space="preserve"> следующую динамику развития малого и среднего предпринимател</w:t>
      </w:r>
      <w:r w:rsidR="008F6798" w:rsidRPr="00B06DAB">
        <w:rPr>
          <w:rFonts w:eastAsiaTheme="minorHAnsi"/>
          <w:lang w:eastAsia="en-US"/>
        </w:rPr>
        <w:t>ь</w:t>
      </w:r>
      <w:r w:rsidR="008F6798" w:rsidRPr="00B06DAB">
        <w:rPr>
          <w:rFonts w:eastAsiaTheme="minorHAnsi"/>
          <w:lang w:eastAsia="en-US"/>
        </w:rPr>
        <w:t>ства в республике</w:t>
      </w:r>
      <w:r w:rsidRPr="00B06DAB">
        <w:rPr>
          <w:rFonts w:eastAsiaTheme="minorHAnsi"/>
          <w:lang w:eastAsia="en-US"/>
        </w:rPr>
        <w:t>:</w:t>
      </w:r>
    </w:p>
    <w:p w:rsidR="00DB4282" w:rsidRPr="00B06DAB" w:rsidRDefault="008F6798" w:rsidP="00DB428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темпы роста (снижения) количества малых и средних предприятий, включая </w:t>
      </w:r>
      <w:proofErr w:type="spellStart"/>
      <w:r w:rsidRPr="00B06DAB">
        <w:rPr>
          <w:rFonts w:eastAsiaTheme="minorHAnsi"/>
          <w:lang w:eastAsia="en-US"/>
        </w:rPr>
        <w:t>микр</w:t>
      </w:r>
      <w:r w:rsidRPr="00B06DAB">
        <w:rPr>
          <w:rFonts w:eastAsiaTheme="minorHAnsi"/>
          <w:lang w:eastAsia="en-US"/>
        </w:rPr>
        <w:t>о</w:t>
      </w:r>
      <w:r w:rsidRPr="00B06DAB">
        <w:rPr>
          <w:rFonts w:eastAsiaTheme="minorHAnsi"/>
          <w:lang w:eastAsia="en-US"/>
        </w:rPr>
        <w:t>предприятия</w:t>
      </w:r>
      <w:proofErr w:type="spellEnd"/>
      <w:r w:rsidR="00DB4282" w:rsidRPr="00B06DAB">
        <w:rPr>
          <w:rFonts w:eastAsiaTheme="minorHAnsi"/>
          <w:lang w:eastAsia="en-US"/>
        </w:rPr>
        <w:t xml:space="preserve"> в 2021 году, при консервативном варианте развития экономики </w:t>
      </w:r>
      <w:r w:rsidRPr="00B06DAB">
        <w:rPr>
          <w:rFonts w:eastAsiaTheme="minorHAnsi"/>
          <w:lang w:eastAsia="en-US"/>
        </w:rPr>
        <w:t>–</w:t>
      </w:r>
      <w:r w:rsidR="00DB4282" w:rsidRPr="00B06DAB">
        <w:rPr>
          <w:rFonts w:eastAsiaTheme="minorHAnsi"/>
          <w:lang w:eastAsia="en-US"/>
        </w:rPr>
        <w:t xml:space="preserve"> 95</w:t>
      </w:r>
      <w:r w:rsidR="00940462">
        <w:rPr>
          <w:rFonts w:eastAsiaTheme="minorHAnsi"/>
          <w:lang w:eastAsia="en-US"/>
        </w:rPr>
        <w:t xml:space="preserve"> </w:t>
      </w:r>
      <w:r w:rsidR="00940462" w:rsidRPr="00B06DAB">
        <w:rPr>
          <w:bCs/>
        </w:rPr>
        <w:t>проце</w:t>
      </w:r>
      <w:r w:rsidR="00940462" w:rsidRPr="00B06DAB">
        <w:rPr>
          <w:bCs/>
        </w:rPr>
        <w:t>н</w:t>
      </w:r>
      <w:r w:rsidR="00940462">
        <w:rPr>
          <w:bCs/>
        </w:rPr>
        <w:t>тов</w:t>
      </w:r>
      <w:r w:rsidR="00DB4282" w:rsidRPr="00B06DAB">
        <w:rPr>
          <w:rFonts w:eastAsiaTheme="minorHAnsi"/>
          <w:lang w:eastAsia="en-US"/>
        </w:rPr>
        <w:t>, при базовом – 100</w:t>
      </w:r>
      <w:r w:rsidR="00940462">
        <w:rPr>
          <w:rFonts w:eastAsiaTheme="minorHAnsi"/>
          <w:lang w:eastAsia="en-US"/>
        </w:rPr>
        <w:t xml:space="preserve"> </w:t>
      </w:r>
      <w:r w:rsidR="00940462">
        <w:rPr>
          <w:bCs/>
        </w:rPr>
        <w:t>процентов</w:t>
      </w:r>
      <w:r w:rsidR="00DB4282" w:rsidRPr="00B06DAB">
        <w:rPr>
          <w:rFonts w:eastAsiaTheme="minorHAnsi"/>
          <w:lang w:eastAsia="en-US"/>
        </w:rPr>
        <w:t>, в 2022 году – 97</w:t>
      </w:r>
      <w:r w:rsidRPr="00B06DAB">
        <w:rPr>
          <w:rFonts w:eastAsiaTheme="minorHAnsi"/>
          <w:lang w:eastAsia="en-US"/>
        </w:rPr>
        <w:t xml:space="preserve"> и</w:t>
      </w:r>
      <w:r w:rsidR="00DB4282" w:rsidRPr="00B06DAB">
        <w:rPr>
          <w:rFonts w:eastAsiaTheme="minorHAnsi"/>
          <w:lang w:eastAsia="en-US"/>
        </w:rPr>
        <w:t xml:space="preserve"> 100</w:t>
      </w:r>
      <w:r w:rsidR="00940462" w:rsidRPr="00940462">
        <w:rPr>
          <w:bCs/>
        </w:rPr>
        <w:t xml:space="preserve"> </w:t>
      </w:r>
      <w:r w:rsidR="00940462" w:rsidRPr="00B06DAB">
        <w:rPr>
          <w:bCs/>
        </w:rPr>
        <w:t>процента</w:t>
      </w:r>
      <w:r w:rsidR="00DB4282" w:rsidRPr="00B06DAB">
        <w:rPr>
          <w:rFonts w:eastAsiaTheme="minorHAnsi"/>
          <w:lang w:eastAsia="en-US"/>
        </w:rPr>
        <w:t xml:space="preserve"> соответственно,  в 2023</w:t>
      </w:r>
      <w:r w:rsidR="00940462">
        <w:rPr>
          <w:rFonts w:eastAsiaTheme="minorHAnsi"/>
          <w:lang w:eastAsia="en-US"/>
        </w:rPr>
        <w:t> </w:t>
      </w:r>
      <w:r w:rsidR="00DB4282" w:rsidRPr="00B06DAB">
        <w:rPr>
          <w:rFonts w:eastAsiaTheme="minorHAnsi"/>
          <w:lang w:eastAsia="en-US"/>
        </w:rPr>
        <w:t>году – 99</w:t>
      </w:r>
      <w:r w:rsidRPr="00B06DAB">
        <w:rPr>
          <w:rFonts w:eastAsiaTheme="minorHAnsi"/>
          <w:lang w:eastAsia="en-US"/>
        </w:rPr>
        <w:t xml:space="preserve"> и</w:t>
      </w:r>
      <w:r w:rsidR="00DB4282" w:rsidRPr="00B06DAB">
        <w:rPr>
          <w:rFonts w:eastAsiaTheme="minorHAnsi"/>
          <w:lang w:eastAsia="en-US"/>
        </w:rPr>
        <w:t xml:space="preserve"> 100</w:t>
      </w:r>
      <w:r w:rsidR="00940462" w:rsidRPr="00940462">
        <w:rPr>
          <w:bCs/>
        </w:rPr>
        <w:t xml:space="preserve"> </w:t>
      </w:r>
      <w:r w:rsidR="00940462">
        <w:rPr>
          <w:bCs/>
        </w:rPr>
        <w:t>процентов</w:t>
      </w:r>
      <w:r w:rsidR="00DB4282" w:rsidRPr="00B06DAB">
        <w:rPr>
          <w:rFonts w:eastAsiaTheme="minorHAnsi"/>
          <w:lang w:eastAsia="en-US"/>
        </w:rPr>
        <w:t>;</w:t>
      </w:r>
    </w:p>
    <w:p w:rsidR="00DB4282" w:rsidRPr="00B06DAB" w:rsidRDefault="008F6798" w:rsidP="00DB428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темпы роста (снижения) среднесписочная численность работников на предприятиях малого и среднего предпринимательства (включая </w:t>
      </w:r>
      <w:proofErr w:type="spellStart"/>
      <w:r w:rsidRPr="00B06DAB">
        <w:rPr>
          <w:rFonts w:eastAsiaTheme="minorHAnsi"/>
          <w:lang w:eastAsia="en-US"/>
        </w:rPr>
        <w:t>микропредприятия</w:t>
      </w:r>
      <w:proofErr w:type="spellEnd"/>
      <w:r w:rsidRPr="00B06DAB">
        <w:rPr>
          <w:rFonts w:eastAsiaTheme="minorHAnsi"/>
          <w:lang w:eastAsia="en-US"/>
        </w:rPr>
        <w:t>) (без внешних со</w:t>
      </w:r>
      <w:r w:rsidRPr="00B06DAB">
        <w:rPr>
          <w:rFonts w:eastAsiaTheme="minorHAnsi"/>
          <w:lang w:eastAsia="en-US"/>
        </w:rPr>
        <w:t>в</w:t>
      </w:r>
      <w:r w:rsidRPr="00B06DAB">
        <w:rPr>
          <w:rFonts w:eastAsiaTheme="minorHAnsi"/>
          <w:lang w:eastAsia="en-US"/>
        </w:rPr>
        <w:t xml:space="preserve">местителей) </w:t>
      </w:r>
      <w:r w:rsidR="00DB4282" w:rsidRPr="00B06DAB">
        <w:rPr>
          <w:rFonts w:eastAsiaTheme="minorHAnsi"/>
          <w:lang w:eastAsia="en-US"/>
        </w:rPr>
        <w:t xml:space="preserve">в 2021 году при консервативном варианте развития экономики </w:t>
      </w:r>
      <w:r w:rsidRPr="00B06DAB">
        <w:rPr>
          <w:rFonts w:eastAsiaTheme="minorHAnsi"/>
          <w:lang w:eastAsia="en-US"/>
        </w:rPr>
        <w:t>–</w:t>
      </w:r>
      <w:r w:rsidR="00DB4282" w:rsidRPr="00B06DAB">
        <w:rPr>
          <w:rFonts w:eastAsiaTheme="minorHAnsi"/>
          <w:lang w:eastAsia="en-US"/>
        </w:rPr>
        <w:t xml:space="preserve"> 99</w:t>
      </w:r>
      <w:r w:rsidR="00940462" w:rsidRPr="00940462">
        <w:rPr>
          <w:bCs/>
        </w:rPr>
        <w:t xml:space="preserve"> </w:t>
      </w:r>
      <w:r w:rsidR="00940462">
        <w:rPr>
          <w:bCs/>
        </w:rPr>
        <w:t>проце</w:t>
      </w:r>
      <w:r w:rsidR="00940462">
        <w:rPr>
          <w:bCs/>
        </w:rPr>
        <w:t>н</w:t>
      </w:r>
      <w:r w:rsidR="00940462">
        <w:rPr>
          <w:bCs/>
        </w:rPr>
        <w:t>тов</w:t>
      </w:r>
      <w:r w:rsidR="00DB4282" w:rsidRPr="00B06DAB">
        <w:rPr>
          <w:rFonts w:eastAsiaTheme="minorHAnsi"/>
          <w:lang w:eastAsia="en-US"/>
        </w:rPr>
        <w:t>, при базовом – 100</w:t>
      </w:r>
      <w:r w:rsidR="00940462">
        <w:rPr>
          <w:rFonts w:eastAsiaTheme="minorHAnsi"/>
          <w:lang w:eastAsia="en-US"/>
        </w:rPr>
        <w:t xml:space="preserve"> </w:t>
      </w:r>
      <w:r w:rsidR="00940462">
        <w:rPr>
          <w:bCs/>
        </w:rPr>
        <w:t>процентов</w:t>
      </w:r>
      <w:r w:rsidR="00DB4282" w:rsidRPr="00B06DAB">
        <w:rPr>
          <w:rFonts w:eastAsiaTheme="minorHAnsi"/>
          <w:lang w:eastAsia="en-US"/>
        </w:rPr>
        <w:t>, в 2022 году – 99,9</w:t>
      </w:r>
      <w:r w:rsidRPr="00B06DAB">
        <w:rPr>
          <w:rFonts w:eastAsiaTheme="minorHAnsi"/>
          <w:lang w:eastAsia="en-US"/>
        </w:rPr>
        <w:t xml:space="preserve"> и</w:t>
      </w:r>
      <w:r w:rsidR="00DB4282" w:rsidRPr="00B06DAB">
        <w:rPr>
          <w:rFonts w:eastAsiaTheme="minorHAnsi"/>
          <w:lang w:eastAsia="en-US"/>
        </w:rPr>
        <w:t xml:space="preserve"> 101</w:t>
      </w:r>
      <w:r w:rsidR="00940462">
        <w:rPr>
          <w:rFonts w:eastAsiaTheme="minorHAnsi"/>
          <w:lang w:eastAsia="en-US"/>
        </w:rPr>
        <w:t xml:space="preserve"> </w:t>
      </w:r>
      <w:r w:rsidR="00940462">
        <w:rPr>
          <w:bCs/>
        </w:rPr>
        <w:t>процент</w:t>
      </w:r>
      <w:r w:rsidR="00DB4282" w:rsidRPr="00B06DAB">
        <w:rPr>
          <w:rFonts w:eastAsiaTheme="minorHAnsi"/>
          <w:lang w:eastAsia="en-US"/>
        </w:rPr>
        <w:t xml:space="preserve"> соответственно, в 2023 году – 101</w:t>
      </w:r>
      <w:r w:rsidRPr="00B06DAB">
        <w:rPr>
          <w:rFonts w:eastAsiaTheme="minorHAnsi"/>
          <w:lang w:eastAsia="en-US"/>
        </w:rPr>
        <w:t xml:space="preserve"> и</w:t>
      </w:r>
      <w:r w:rsidR="00DB4282" w:rsidRPr="00B06DAB">
        <w:rPr>
          <w:rFonts w:eastAsiaTheme="minorHAnsi"/>
          <w:lang w:eastAsia="en-US"/>
        </w:rPr>
        <w:t xml:space="preserve"> 102</w:t>
      </w:r>
      <w:r w:rsidR="00940462">
        <w:rPr>
          <w:rFonts w:eastAsiaTheme="minorHAnsi"/>
          <w:lang w:eastAsia="en-US"/>
        </w:rPr>
        <w:t xml:space="preserve"> </w:t>
      </w:r>
      <w:r w:rsidR="00940462" w:rsidRPr="00B06DAB">
        <w:rPr>
          <w:bCs/>
        </w:rPr>
        <w:t>процента</w:t>
      </w:r>
      <w:r w:rsidR="00DB4282" w:rsidRPr="00B06DAB">
        <w:rPr>
          <w:rFonts w:eastAsiaTheme="minorHAnsi"/>
          <w:lang w:eastAsia="en-US"/>
        </w:rPr>
        <w:t>;</w:t>
      </w:r>
    </w:p>
    <w:p w:rsidR="00DB4282" w:rsidRPr="00B06DAB" w:rsidRDefault="008F6798" w:rsidP="00DB4282">
      <w:pPr>
        <w:ind w:firstLine="567"/>
        <w:contextualSpacing/>
        <w:jc w:val="both"/>
        <w:rPr>
          <w:rFonts w:eastAsiaTheme="minorHAnsi"/>
          <w:lang w:eastAsia="en-US"/>
        </w:rPr>
      </w:pPr>
      <w:r w:rsidRPr="00B06DAB">
        <w:rPr>
          <w:rFonts w:eastAsiaTheme="minorHAnsi"/>
          <w:lang w:eastAsia="en-US"/>
        </w:rPr>
        <w:t xml:space="preserve">темпы роста (снижения) оборот малых и средних предприятий, включая </w:t>
      </w:r>
      <w:proofErr w:type="spellStart"/>
      <w:r w:rsidRPr="00B06DAB">
        <w:rPr>
          <w:rFonts w:eastAsiaTheme="minorHAnsi"/>
          <w:lang w:eastAsia="en-US"/>
        </w:rPr>
        <w:t>микропре</w:t>
      </w:r>
      <w:r w:rsidRPr="00B06DAB">
        <w:rPr>
          <w:rFonts w:eastAsiaTheme="minorHAnsi"/>
          <w:lang w:eastAsia="en-US"/>
        </w:rPr>
        <w:t>д</w:t>
      </w:r>
      <w:r w:rsidRPr="00B06DAB">
        <w:rPr>
          <w:rFonts w:eastAsiaTheme="minorHAnsi"/>
          <w:lang w:eastAsia="en-US"/>
        </w:rPr>
        <w:t>приятия</w:t>
      </w:r>
      <w:proofErr w:type="spellEnd"/>
      <w:r w:rsidRPr="00B06DAB">
        <w:rPr>
          <w:rFonts w:eastAsiaTheme="minorHAnsi"/>
          <w:lang w:eastAsia="en-US"/>
        </w:rPr>
        <w:t xml:space="preserve"> </w:t>
      </w:r>
      <w:r w:rsidR="00DB4282" w:rsidRPr="00B06DAB">
        <w:rPr>
          <w:rFonts w:eastAsiaTheme="minorHAnsi"/>
          <w:lang w:eastAsia="en-US"/>
        </w:rPr>
        <w:t>в 2021 году при консервативном варианте развития экономики – 97,9</w:t>
      </w:r>
      <w:r w:rsidR="00940462" w:rsidRPr="00940462">
        <w:rPr>
          <w:bCs/>
        </w:rPr>
        <w:t xml:space="preserve"> </w:t>
      </w:r>
      <w:r w:rsidR="00940462" w:rsidRPr="00B06DAB">
        <w:rPr>
          <w:bCs/>
        </w:rPr>
        <w:t>процента</w:t>
      </w:r>
      <w:r w:rsidR="00DB4282" w:rsidRPr="00B06DAB">
        <w:rPr>
          <w:rFonts w:eastAsiaTheme="minorHAnsi"/>
          <w:lang w:eastAsia="en-US"/>
        </w:rPr>
        <w:t>, при базовом – 100</w:t>
      </w:r>
      <w:r w:rsidR="00940462">
        <w:rPr>
          <w:rFonts w:eastAsiaTheme="minorHAnsi"/>
          <w:lang w:eastAsia="en-US"/>
        </w:rPr>
        <w:t xml:space="preserve"> </w:t>
      </w:r>
      <w:r w:rsidR="00940462">
        <w:rPr>
          <w:bCs/>
        </w:rPr>
        <w:t>процентов</w:t>
      </w:r>
      <w:r w:rsidR="00DB4282" w:rsidRPr="00B06DAB">
        <w:rPr>
          <w:rFonts w:eastAsiaTheme="minorHAnsi"/>
          <w:lang w:eastAsia="en-US"/>
        </w:rPr>
        <w:t>, в 2022 году – 102</w:t>
      </w:r>
      <w:r w:rsidR="00940462">
        <w:rPr>
          <w:rFonts w:eastAsiaTheme="minorHAnsi"/>
          <w:lang w:eastAsia="en-US"/>
        </w:rPr>
        <w:t xml:space="preserve"> </w:t>
      </w:r>
      <w:r w:rsidRPr="00B06DAB">
        <w:rPr>
          <w:rFonts w:eastAsiaTheme="minorHAnsi"/>
          <w:lang w:eastAsia="en-US"/>
        </w:rPr>
        <w:t>и</w:t>
      </w:r>
      <w:r w:rsidR="00DB4282" w:rsidRPr="00B06DAB">
        <w:rPr>
          <w:rFonts w:eastAsiaTheme="minorHAnsi"/>
          <w:lang w:eastAsia="en-US"/>
        </w:rPr>
        <w:t xml:space="preserve"> 105</w:t>
      </w:r>
      <w:r w:rsidR="00940462">
        <w:rPr>
          <w:rFonts w:eastAsiaTheme="minorHAnsi"/>
          <w:lang w:eastAsia="en-US"/>
        </w:rPr>
        <w:t xml:space="preserve"> </w:t>
      </w:r>
      <w:r w:rsidR="00940462">
        <w:rPr>
          <w:bCs/>
        </w:rPr>
        <w:t xml:space="preserve">процентов </w:t>
      </w:r>
      <w:r w:rsidR="00DB4282" w:rsidRPr="00B06DAB">
        <w:rPr>
          <w:rFonts w:eastAsiaTheme="minorHAnsi"/>
          <w:lang w:eastAsia="en-US"/>
        </w:rPr>
        <w:t>соответственно, в 2023</w:t>
      </w:r>
      <w:r w:rsidR="00940462">
        <w:rPr>
          <w:rFonts w:eastAsiaTheme="minorHAnsi"/>
          <w:lang w:eastAsia="en-US"/>
        </w:rPr>
        <w:t> </w:t>
      </w:r>
      <w:r w:rsidR="00DB4282" w:rsidRPr="00B06DAB">
        <w:rPr>
          <w:rFonts w:eastAsiaTheme="minorHAnsi"/>
          <w:lang w:eastAsia="en-US"/>
        </w:rPr>
        <w:t>году – 104</w:t>
      </w:r>
      <w:r w:rsidRPr="00B06DAB">
        <w:rPr>
          <w:rFonts w:eastAsiaTheme="minorHAnsi"/>
          <w:lang w:eastAsia="en-US"/>
        </w:rPr>
        <w:t xml:space="preserve"> и</w:t>
      </w:r>
      <w:r w:rsidR="00DB4282" w:rsidRPr="00B06DAB">
        <w:rPr>
          <w:rFonts w:eastAsiaTheme="minorHAnsi"/>
          <w:lang w:eastAsia="en-US"/>
        </w:rPr>
        <w:t xml:space="preserve"> 105</w:t>
      </w:r>
      <w:r w:rsidR="00940462">
        <w:rPr>
          <w:rFonts w:eastAsiaTheme="minorHAnsi"/>
          <w:lang w:eastAsia="en-US"/>
        </w:rPr>
        <w:t xml:space="preserve"> </w:t>
      </w:r>
      <w:r w:rsidR="00940462">
        <w:rPr>
          <w:bCs/>
        </w:rPr>
        <w:t>процентов</w:t>
      </w:r>
      <w:r w:rsidR="00DB4282" w:rsidRPr="00B06DAB">
        <w:rPr>
          <w:rFonts w:eastAsiaTheme="minorHAnsi"/>
          <w:lang w:eastAsia="en-US"/>
        </w:rPr>
        <w:t>.</w:t>
      </w:r>
    </w:p>
    <w:p w:rsidR="00DB4282" w:rsidRPr="00B06DAB" w:rsidRDefault="00DB4282" w:rsidP="00DB4282">
      <w:pPr>
        <w:ind w:firstLine="567"/>
        <w:contextualSpacing/>
        <w:jc w:val="both"/>
        <w:rPr>
          <w:rFonts w:ascii="Calibri" w:eastAsiaTheme="minorHAnsi" w:hAnsi="Calibri" w:cs="Calibri"/>
          <w:lang w:eastAsia="en-US"/>
        </w:rPr>
      </w:pPr>
      <w:proofErr w:type="gramStart"/>
      <w:r w:rsidRPr="00B06DAB">
        <w:rPr>
          <w:rFonts w:eastAsiaTheme="minorHAnsi"/>
          <w:lang w:eastAsia="en-US"/>
        </w:rPr>
        <w:t xml:space="preserve">При подготовке прогноза по малому и среднему предпринимательству, включая </w:t>
      </w:r>
      <w:proofErr w:type="spellStart"/>
      <w:r w:rsidRPr="00B06DAB">
        <w:rPr>
          <w:rFonts w:eastAsiaTheme="minorHAnsi"/>
          <w:lang w:eastAsia="en-US"/>
        </w:rPr>
        <w:t>микропредприятия</w:t>
      </w:r>
      <w:proofErr w:type="spellEnd"/>
      <w:r w:rsidRPr="00B06DAB">
        <w:rPr>
          <w:rFonts w:eastAsiaTheme="minorHAnsi"/>
          <w:lang w:eastAsia="en-US"/>
        </w:rPr>
        <w:t>, учитывались меры поддержки малого и среднего предпринимател</w:t>
      </w:r>
      <w:r w:rsidRPr="00B06DAB">
        <w:rPr>
          <w:rFonts w:eastAsiaTheme="minorHAnsi"/>
          <w:lang w:eastAsia="en-US"/>
        </w:rPr>
        <w:t>ь</w:t>
      </w:r>
      <w:r w:rsidRPr="00B06DAB">
        <w:rPr>
          <w:rFonts w:eastAsiaTheme="minorHAnsi"/>
          <w:lang w:eastAsia="en-US"/>
        </w:rPr>
        <w:t xml:space="preserve">ства, принимаемые в условиях ухудшения ситуации в связи с распространением новой </w:t>
      </w:r>
      <w:proofErr w:type="spellStart"/>
      <w:r w:rsidRPr="00B06DAB">
        <w:rPr>
          <w:rFonts w:eastAsiaTheme="minorHAnsi"/>
          <w:lang w:eastAsia="en-US"/>
        </w:rPr>
        <w:t>к</w:t>
      </w:r>
      <w:r w:rsidRPr="00B06DAB">
        <w:rPr>
          <w:rFonts w:eastAsiaTheme="minorHAnsi"/>
          <w:lang w:eastAsia="en-US"/>
        </w:rPr>
        <w:t>о</w:t>
      </w:r>
      <w:r w:rsidRPr="00B06DAB">
        <w:rPr>
          <w:rFonts w:eastAsiaTheme="minorHAnsi"/>
          <w:lang w:eastAsia="en-US"/>
        </w:rPr>
        <w:t>ронавирусной</w:t>
      </w:r>
      <w:proofErr w:type="spellEnd"/>
      <w:r w:rsidRPr="00B06DAB">
        <w:rPr>
          <w:rFonts w:eastAsiaTheme="minorHAnsi"/>
          <w:lang w:eastAsia="en-US"/>
        </w:rPr>
        <w:t xml:space="preserve"> инфекции</w:t>
      </w:r>
      <w:r w:rsidR="00F171E4" w:rsidRPr="00B06DAB">
        <w:rPr>
          <w:rFonts w:eastAsiaTheme="minorHAnsi"/>
          <w:lang w:eastAsia="en-US"/>
        </w:rPr>
        <w:t xml:space="preserve"> на федеральном и региональном уровне</w:t>
      </w:r>
      <w:r w:rsidRPr="00B06DAB">
        <w:rPr>
          <w:rFonts w:eastAsiaTheme="minorHAnsi"/>
          <w:lang w:eastAsia="en-US"/>
        </w:rPr>
        <w:t>, мероприятия по ко</w:t>
      </w:r>
      <w:r w:rsidRPr="00B06DAB">
        <w:rPr>
          <w:rFonts w:eastAsiaTheme="minorHAnsi"/>
          <w:lang w:eastAsia="en-US"/>
        </w:rPr>
        <w:t>н</w:t>
      </w:r>
      <w:r w:rsidRPr="00B06DAB">
        <w:rPr>
          <w:rFonts w:eastAsiaTheme="minorHAnsi"/>
          <w:lang w:eastAsia="en-US"/>
        </w:rPr>
        <w:t>сультационной, финансовой, организационной, образовательной поддержке, реализуемые в рамках национального проекта «Малое и среднее предпринимательство и поддержка индивидуальной предпринимательской инициативы», а также предпосылки реализации Стратегии</w:t>
      </w:r>
      <w:proofErr w:type="gramEnd"/>
      <w:r w:rsidRPr="00B06DAB">
        <w:rPr>
          <w:rFonts w:eastAsiaTheme="minorHAnsi"/>
          <w:lang w:eastAsia="en-US"/>
        </w:rPr>
        <w:t xml:space="preserve"> развития малого и среднего предпринимательства в Чувашской Республике на период до 2030 года.</w:t>
      </w:r>
    </w:p>
    <w:p w:rsidR="00930FE0" w:rsidRPr="00B06DAB" w:rsidRDefault="00930FE0" w:rsidP="0093624D">
      <w:pPr>
        <w:jc w:val="center"/>
        <w:rPr>
          <w:highlight w:val="yellow"/>
        </w:rPr>
      </w:pPr>
    </w:p>
    <w:p w:rsidR="00930FE0" w:rsidRPr="00B06DAB" w:rsidRDefault="00930FE0" w:rsidP="00930FE0">
      <w:pPr>
        <w:pStyle w:val="22"/>
        <w:spacing w:after="0" w:line="240" w:lineRule="auto"/>
        <w:jc w:val="center"/>
        <w:rPr>
          <w:b/>
        </w:rPr>
      </w:pPr>
      <w:r w:rsidRPr="00B06DAB">
        <w:rPr>
          <w:b/>
          <w:bCs/>
        </w:rPr>
        <w:t>9.</w:t>
      </w:r>
      <w:r w:rsidRPr="00B06DAB">
        <w:rPr>
          <w:b/>
        </w:rPr>
        <w:t xml:space="preserve"> Инвестиции </w:t>
      </w:r>
    </w:p>
    <w:p w:rsidR="00930FE0" w:rsidRPr="00B06DAB" w:rsidRDefault="00930FE0" w:rsidP="00930FE0">
      <w:pPr>
        <w:pStyle w:val="22"/>
        <w:spacing w:after="0" w:line="240" w:lineRule="auto"/>
        <w:jc w:val="center"/>
        <w:rPr>
          <w:highlight w:val="yellow"/>
        </w:rPr>
      </w:pPr>
    </w:p>
    <w:p w:rsidR="007571A2" w:rsidRPr="00B06DAB" w:rsidRDefault="007571A2" w:rsidP="007571A2">
      <w:pPr>
        <w:ind w:firstLine="709"/>
        <w:jc w:val="both"/>
      </w:pPr>
      <w:r w:rsidRPr="00B06DAB">
        <w:t>Основой для инвестиционного роста в среднесрочный период послужит повыш</w:t>
      </w:r>
      <w:r w:rsidRPr="00B06DAB">
        <w:t>е</w:t>
      </w:r>
      <w:r w:rsidRPr="00B06DAB">
        <w:t>ние уровня доверия бизнеса на фоне сложившейся с начала 2020 года международной о</w:t>
      </w:r>
      <w:r w:rsidRPr="00B06DAB">
        <w:t>б</w:t>
      </w:r>
      <w:r w:rsidRPr="00B06DAB">
        <w:t xml:space="preserve">становки с </w:t>
      </w:r>
      <w:proofErr w:type="spellStart"/>
      <w:r w:rsidRPr="00B06DAB">
        <w:t>коронавирусом</w:t>
      </w:r>
      <w:proofErr w:type="spellEnd"/>
      <w:r w:rsidRPr="00B06DAB">
        <w:t>. По итогам 2019 года объем инвестиций в основной капитал за счет всех источников составил 63,6 млрд. рублей или 105,7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 xml:space="preserve"> к уровню 2018 года. В I</w:t>
      </w:r>
      <w:r w:rsidR="00F57BF0">
        <w:t> </w:t>
      </w:r>
      <w:r w:rsidRPr="00B06DAB">
        <w:t>квартале 2020 г. в основной капитал республики за счет всех источников финансир</w:t>
      </w:r>
      <w:r w:rsidRPr="00B06DAB">
        <w:t>о</w:t>
      </w:r>
      <w:r w:rsidRPr="00B06DAB">
        <w:t>вания вложено 6,6 млрд. рублей, или 78,4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 xml:space="preserve"> к I кварталу 2019 года (в сопостав</w:t>
      </w:r>
      <w:r w:rsidRPr="00B06DAB">
        <w:t>и</w:t>
      </w:r>
      <w:r w:rsidRPr="00B06DAB">
        <w:t>мых ценах).</w:t>
      </w:r>
    </w:p>
    <w:p w:rsidR="007571A2" w:rsidRPr="00B06DAB" w:rsidRDefault="007571A2" w:rsidP="007571A2">
      <w:pPr>
        <w:ind w:firstLine="709"/>
        <w:jc w:val="both"/>
        <w:rPr>
          <w:bCs/>
        </w:rPr>
      </w:pPr>
      <w:r w:rsidRPr="00B06DAB">
        <w:rPr>
          <w:bCs/>
        </w:rPr>
        <w:t>По прогнозной оценке с учетом экономической ситуации объем инвестиций в о</w:t>
      </w:r>
      <w:r w:rsidRPr="00B06DAB">
        <w:rPr>
          <w:bCs/>
        </w:rPr>
        <w:t>с</w:t>
      </w:r>
      <w:r w:rsidRPr="00B06DAB">
        <w:rPr>
          <w:bCs/>
        </w:rPr>
        <w:t>новной капитал в 2020 году составит 60,6 млрд. рублей или 89</w:t>
      </w:r>
      <w:r w:rsidR="00F57BF0">
        <w:rPr>
          <w:bCs/>
        </w:rPr>
        <w:t xml:space="preserve"> процентов</w:t>
      </w:r>
      <w:r w:rsidRPr="00B06DAB">
        <w:rPr>
          <w:bCs/>
        </w:rPr>
        <w:t xml:space="preserve">. </w:t>
      </w:r>
      <w:proofErr w:type="gramStart"/>
      <w:r w:rsidRPr="00B06DAB">
        <w:rPr>
          <w:bCs/>
        </w:rPr>
        <w:t>Начиная с 2021</w:t>
      </w:r>
      <w:r w:rsidR="00F57BF0">
        <w:rPr>
          <w:bCs/>
        </w:rPr>
        <w:t> </w:t>
      </w:r>
      <w:r w:rsidRPr="00B06DAB">
        <w:rPr>
          <w:bCs/>
        </w:rPr>
        <w:t>года планируется увеличение темпов роста инвестиций: в 2021 году по базовому в</w:t>
      </w:r>
      <w:r w:rsidRPr="00B06DAB">
        <w:rPr>
          <w:bCs/>
        </w:rPr>
        <w:t>а</w:t>
      </w:r>
      <w:r w:rsidRPr="00B06DAB">
        <w:rPr>
          <w:bCs/>
        </w:rPr>
        <w:t>рианту – 66,2 млрд. рублей или 103,7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rPr>
          <w:bCs/>
        </w:rPr>
        <w:t xml:space="preserve"> (по консервативному варианту – 64,9 млрд. рублей или 101</w:t>
      </w:r>
      <w:r w:rsidR="00F57BF0">
        <w:rPr>
          <w:bCs/>
        </w:rPr>
        <w:t xml:space="preserve"> процент</w:t>
      </w:r>
      <w:r w:rsidRPr="00B06DAB">
        <w:rPr>
          <w:bCs/>
        </w:rPr>
        <w:t>), в 2022 году – 72,2 млрд. рублей или 104,2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rPr>
          <w:bCs/>
        </w:rPr>
        <w:t xml:space="preserve"> (69,4 млрд. рублей или 101,2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rPr>
          <w:bCs/>
        </w:rPr>
        <w:t>), в 2023 году – 79,7 млрд. рублей или 105,2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rPr>
          <w:bCs/>
        </w:rPr>
        <w:t xml:space="preserve"> (74,4</w:t>
      </w:r>
      <w:r w:rsidR="00F57BF0">
        <w:rPr>
          <w:bCs/>
        </w:rPr>
        <w:t> </w:t>
      </w:r>
      <w:r w:rsidRPr="00B06DAB">
        <w:rPr>
          <w:bCs/>
        </w:rPr>
        <w:t>млрд. рублей или 102</w:t>
      </w:r>
      <w:r w:rsid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proofErr w:type="gramEnd"/>
      <w:r w:rsidRPr="00B06DAB">
        <w:rPr>
          <w:bCs/>
        </w:rPr>
        <w:t>). Финансовым ресурсом восстановления инвестиц</w:t>
      </w:r>
      <w:r w:rsidRPr="00B06DAB">
        <w:rPr>
          <w:bCs/>
        </w:rPr>
        <w:t>и</w:t>
      </w:r>
      <w:r w:rsidRPr="00B06DAB">
        <w:rPr>
          <w:bCs/>
        </w:rPr>
        <w:t xml:space="preserve">онной активности послужит рост прибыли организаций. </w:t>
      </w:r>
    </w:p>
    <w:p w:rsidR="004557C8" w:rsidRDefault="004557C8" w:rsidP="007571A2">
      <w:pPr>
        <w:ind w:firstLine="709"/>
        <w:jc w:val="both"/>
        <w:rPr>
          <w:bCs/>
        </w:rPr>
      </w:pPr>
    </w:p>
    <w:p w:rsidR="004557C8" w:rsidRPr="00B06DAB" w:rsidRDefault="004557C8" w:rsidP="004557C8">
      <w:pPr>
        <w:jc w:val="center"/>
      </w:pPr>
      <w:r w:rsidRPr="00B06DAB">
        <w:rPr>
          <w:rFonts w:eastAsiaTheme="minorEastAsia"/>
          <w:b/>
          <w:bCs/>
          <w:color w:val="000000"/>
          <w:kern w:val="24"/>
        </w:rPr>
        <w:t>Темпы роста инвестиций в основной капитал</w:t>
      </w:r>
    </w:p>
    <w:p w:rsidR="004557C8" w:rsidRPr="00B06DAB" w:rsidRDefault="004557C8" w:rsidP="004557C8">
      <w:pPr>
        <w:jc w:val="center"/>
      </w:pPr>
      <w:r w:rsidRPr="00B06DAB">
        <w:rPr>
          <w:rFonts w:eastAsiaTheme="minorEastAsia"/>
          <w:color w:val="000000"/>
          <w:kern w:val="24"/>
        </w:rPr>
        <w:t>в сопоставимых ценах (</w:t>
      </w:r>
      <w:proofErr w:type="gramStart"/>
      <w:r w:rsidRPr="00B06DAB">
        <w:rPr>
          <w:rFonts w:eastAsiaTheme="minorEastAsia"/>
          <w:color w:val="000000"/>
          <w:kern w:val="24"/>
        </w:rPr>
        <w:t>в</w:t>
      </w:r>
      <w:proofErr w:type="gramEnd"/>
      <w:r w:rsidRPr="00B06DAB">
        <w:rPr>
          <w:rFonts w:eastAsiaTheme="minorEastAsia"/>
          <w:color w:val="000000"/>
          <w:kern w:val="24"/>
        </w:rPr>
        <w:t xml:space="preserve"> % </w:t>
      </w:r>
      <w:proofErr w:type="gramStart"/>
      <w:r w:rsidRPr="00B06DAB">
        <w:rPr>
          <w:rFonts w:eastAsiaTheme="minorEastAsia"/>
          <w:color w:val="000000"/>
          <w:kern w:val="24"/>
        </w:rPr>
        <w:t>к</w:t>
      </w:r>
      <w:proofErr w:type="gramEnd"/>
      <w:r w:rsidRPr="00B06DAB">
        <w:rPr>
          <w:rFonts w:eastAsiaTheme="minorEastAsia"/>
          <w:color w:val="000000"/>
          <w:kern w:val="24"/>
        </w:rPr>
        <w:t xml:space="preserve"> предыдущему году)</w:t>
      </w:r>
    </w:p>
    <w:p w:rsidR="007571A2" w:rsidRPr="004557C8" w:rsidRDefault="007571A2" w:rsidP="007571A2">
      <w:pPr>
        <w:jc w:val="both"/>
        <w:rPr>
          <w:bCs/>
          <w:color w:val="C00000"/>
        </w:rPr>
      </w:pPr>
      <w:r w:rsidRPr="00422F38">
        <w:rPr>
          <w:noProof/>
          <w:color w:val="C00000"/>
          <w:highlight w:val="yellow"/>
        </w:rPr>
        <w:drawing>
          <wp:inline distT="0" distB="0" distL="0" distR="0" wp14:anchorId="1806D384" wp14:editId="58ED1E4E">
            <wp:extent cx="5613991" cy="2466753"/>
            <wp:effectExtent l="0" t="0" r="635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571A2" w:rsidRPr="00B06DAB" w:rsidRDefault="007571A2" w:rsidP="007571A2">
      <w:pPr>
        <w:ind w:firstLine="709"/>
        <w:jc w:val="both"/>
        <w:rPr>
          <w:bCs/>
        </w:rPr>
      </w:pPr>
      <w:r w:rsidRPr="00B06DAB">
        <w:rPr>
          <w:bCs/>
        </w:rPr>
        <w:t xml:space="preserve">Кроме того, предусматривается увеличение удельного веса инвестиций в основной капитал в валовом региональном продукте с 19,6 </w:t>
      </w:r>
      <w:r w:rsidR="00F57BF0" w:rsidRPr="00B06DAB">
        <w:rPr>
          <w:bCs/>
        </w:rPr>
        <w:t>процента</w:t>
      </w:r>
      <w:r w:rsidRPr="00B06DAB">
        <w:rPr>
          <w:bCs/>
        </w:rPr>
        <w:t xml:space="preserve"> в 2020 году (оценка) до 21,7</w:t>
      </w:r>
      <w:r w:rsidR="00F57BF0">
        <w:rPr>
          <w:bCs/>
        </w:rPr>
        <w:t> </w:t>
      </w:r>
      <w:r w:rsidR="00F57BF0" w:rsidRPr="00B06DAB">
        <w:rPr>
          <w:bCs/>
        </w:rPr>
        <w:t>процента</w:t>
      </w:r>
      <w:r w:rsidRPr="00B06DAB">
        <w:rPr>
          <w:bCs/>
        </w:rPr>
        <w:t xml:space="preserve"> </w:t>
      </w:r>
      <w:r w:rsidR="00C11A0D">
        <w:rPr>
          <w:bCs/>
        </w:rPr>
        <w:t>–</w:t>
      </w:r>
      <w:r w:rsidRPr="00B06DAB">
        <w:rPr>
          <w:bCs/>
        </w:rPr>
        <w:t xml:space="preserve"> в 2023 году. </w:t>
      </w:r>
    </w:p>
    <w:p w:rsidR="007571A2" w:rsidRPr="00B06DAB" w:rsidRDefault="007571A2" w:rsidP="007571A2">
      <w:pPr>
        <w:ind w:firstLine="709"/>
        <w:jc w:val="both"/>
        <w:rPr>
          <w:bCs/>
        </w:rPr>
      </w:pPr>
      <w:r w:rsidRPr="00B06DAB">
        <w:rPr>
          <w:bCs/>
        </w:rPr>
        <w:t>Прогнозируемый рост инвестиций в 2021-2023 годах будет связан с реализацией проектов, которые позволят обеспечить заметный вклад в развитие экономики, дать вес</w:t>
      </w:r>
      <w:r w:rsidRPr="00B06DAB">
        <w:rPr>
          <w:bCs/>
        </w:rPr>
        <w:t>о</w:t>
      </w:r>
      <w:r w:rsidRPr="00B06DAB">
        <w:rPr>
          <w:bCs/>
        </w:rPr>
        <w:t>мый социальный эффект. В настоящее время продолжается реализация следующих инв</w:t>
      </w:r>
      <w:r w:rsidRPr="00B06DAB">
        <w:rPr>
          <w:bCs/>
        </w:rPr>
        <w:t>е</w:t>
      </w:r>
      <w:r w:rsidRPr="00B06DAB">
        <w:rPr>
          <w:bCs/>
        </w:rPr>
        <w:t>стиционных проектов: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строительство комбината по производству керамических строительных матери</w:t>
      </w:r>
      <w:r w:rsidRPr="00B06DAB">
        <w:rPr>
          <w:lang w:eastAsia="en-US"/>
        </w:rPr>
        <w:t>а</w:t>
      </w:r>
      <w:r w:rsidRPr="00B06DAB">
        <w:rPr>
          <w:lang w:eastAsia="en-US"/>
        </w:rPr>
        <w:t>лов, ООО «</w:t>
      </w:r>
      <w:proofErr w:type="spellStart"/>
      <w:r w:rsidRPr="00B06DAB">
        <w:rPr>
          <w:lang w:eastAsia="en-US"/>
        </w:rPr>
        <w:t>Стройкерамика</w:t>
      </w:r>
      <w:proofErr w:type="spellEnd"/>
      <w:r w:rsidRPr="00B06DAB">
        <w:rPr>
          <w:lang w:eastAsia="en-US"/>
        </w:rPr>
        <w:t>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модернизация производства химических средств защиты растений, Филиал АО Фирма «Август» «</w:t>
      </w:r>
      <w:proofErr w:type="spellStart"/>
      <w:r w:rsidRPr="00B06DAB">
        <w:rPr>
          <w:lang w:eastAsia="en-US"/>
        </w:rPr>
        <w:t>Вурнарский</w:t>
      </w:r>
      <w:proofErr w:type="spellEnd"/>
      <w:r w:rsidRPr="00B06DAB">
        <w:rPr>
          <w:lang w:eastAsia="en-US"/>
        </w:rPr>
        <w:t xml:space="preserve"> завод смесевых препаратов»;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производство цельного молока и творога, запуск сырного производства, ООО «</w:t>
      </w:r>
      <w:proofErr w:type="spellStart"/>
      <w:r w:rsidRPr="00B06DAB">
        <w:rPr>
          <w:lang w:eastAsia="en-US"/>
        </w:rPr>
        <w:t>Н</w:t>
      </w:r>
      <w:r w:rsidRPr="00B06DAB">
        <w:rPr>
          <w:lang w:eastAsia="en-US"/>
        </w:rPr>
        <w:t>о</w:t>
      </w:r>
      <w:r w:rsidRPr="00B06DAB">
        <w:rPr>
          <w:lang w:eastAsia="en-US"/>
        </w:rPr>
        <w:t>вочурашевский</w:t>
      </w:r>
      <w:proofErr w:type="spellEnd"/>
      <w:r w:rsidRPr="00B06DAB">
        <w:rPr>
          <w:lang w:eastAsia="en-US"/>
        </w:rPr>
        <w:t xml:space="preserve"> молочный завод»;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строительство современного хранилища картофеля и овощей и их предпродажной подготовки мощностью 10 тыс. тонн, ООО «Натуральные Продукты Поволжья»;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организация производства силовых и специальных кабелей, АО «</w:t>
      </w:r>
      <w:proofErr w:type="spellStart"/>
      <w:r w:rsidRPr="00B06DAB">
        <w:rPr>
          <w:lang w:eastAsia="en-US"/>
        </w:rPr>
        <w:t>Марпо-садкабель</w:t>
      </w:r>
      <w:proofErr w:type="spellEnd"/>
      <w:r w:rsidRPr="00B06DAB">
        <w:rPr>
          <w:lang w:eastAsia="en-US"/>
        </w:rPr>
        <w:t>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создание завода по производству гран</w:t>
      </w:r>
      <w:r w:rsidR="00C11A0D">
        <w:rPr>
          <w:lang w:eastAsia="en-US"/>
        </w:rPr>
        <w:t>улированного органического удоб</w:t>
      </w:r>
      <w:r w:rsidRPr="00B06DAB">
        <w:rPr>
          <w:lang w:eastAsia="en-US"/>
        </w:rPr>
        <w:t>рения, ООО «Агрохолдинг «ЮРМА»;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строительство тепличного комплекса «</w:t>
      </w:r>
      <w:proofErr w:type="spellStart"/>
      <w:r w:rsidRPr="00B06DAB">
        <w:rPr>
          <w:lang w:eastAsia="en-US"/>
        </w:rPr>
        <w:t>Новочебоксарский</w:t>
      </w:r>
      <w:proofErr w:type="spellEnd"/>
      <w:r w:rsidRPr="00B06DAB">
        <w:rPr>
          <w:lang w:eastAsia="en-US"/>
        </w:rPr>
        <w:t>» площадью 22 га для в</w:t>
      </w:r>
      <w:r w:rsidRPr="00B06DAB">
        <w:rPr>
          <w:lang w:eastAsia="en-US"/>
        </w:rPr>
        <w:t>ы</w:t>
      </w:r>
      <w:r w:rsidRPr="00B06DAB">
        <w:rPr>
          <w:lang w:eastAsia="en-US"/>
        </w:rPr>
        <w:t>ращивания овощной продукции защищенного грунта (2 очередь) на территории Чебокса</w:t>
      </w:r>
      <w:r w:rsidRPr="00B06DAB">
        <w:rPr>
          <w:lang w:eastAsia="en-US"/>
        </w:rPr>
        <w:t>р</w:t>
      </w:r>
      <w:r w:rsidRPr="00B06DAB">
        <w:rPr>
          <w:lang w:eastAsia="en-US"/>
        </w:rPr>
        <w:t xml:space="preserve">ского района д. </w:t>
      </w:r>
      <w:proofErr w:type="spellStart"/>
      <w:r w:rsidRPr="00B06DAB">
        <w:rPr>
          <w:lang w:eastAsia="en-US"/>
        </w:rPr>
        <w:t>Кодеркасы</w:t>
      </w:r>
      <w:proofErr w:type="spellEnd"/>
      <w:r w:rsidRPr="00B06DAB">
        <w:rPr>
          <w:lang w:eastAsia="en-US"/>
        </w:rPr>
        <w:t>, ООО Тепличный комплекс «</w:t>
      </w:r>
      <w:proofErr w:type="spellStart"/>
      <w:r w:rsidRPr="00B06DAB">
        <w:rPr>
          <w:lang w:eastAsia="en-US"/>
        </w:rPr>
        <w:t>Новочебоксарский</w:t>
      </w:r>
      <w:proofErr w:type="spellEnd"/>
      <w:r w:rsidRPr="00B06DAB">
        <w:rPr>
          <w:lang w:eastAsia="en-US"/>
        </w:rPr>
        <w:t>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реконструкция и модернизация тепличного комплекса, АО «Агрофирма «</w:t>
      </w:r>
      <w:proofErr w:type="spellStart"/>
      <w:r w:rsidRPr="00B06DAB">
        <w:rPr>
          <w:lang w:eastAsia="en-US"/>
        </w:rPr>
        <w:t>Ольдее</w:t>
      </w:r>
      <w:r w:rsidRPr="00B06DAB">
        <w:rPr>
          <w:lang w:eastAsia="en-US"/>
        </w:rPr>
        <w:t>в</w:t>
      </w:r>
      <w:r w:rsidRPr="00B06DAB">
        <w:rPr>
          <w:lang w:eastAsia="en-US"/>
        </w:rPr>
        <w:t>ская</w:t>
      </w:r>
      <w:proofErr w:type="spellEnd"/>
      <w:r w:rsidRPr="00B06DAB">
        <w:rPr>
          <w:lang w:eastAsia="en-US"/>
        </w:rPr>
        <w:t>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модернизация производства по розливу молока и молочных продуктов, ОАО «</w:t>
      </w:r>
      <w:proofErr w:type="spellStart"/>
      <w:r w:rsidRPr="00B06DAB">
        <w:rPr>
          <w:lang w:eastAsia="en-US"/>
        </w:rPr>
        <w:t>Я</w:t>
      </w:r>
      <w:r w:rsidRPr="00B06DAB">
        <w:rPr>
          <w:lang w:eastAsia="en-US"/>
        </w:rPr>
        <w:t>д</w:t>
      </w:r>
      <w:r w:rsidRPr="00B06DAB">
        <w:rPr>
          <w:lang w:eastAsia="en-US"/>
        </w:rPr>
        <w:t>ринмолоко</w:t>
      </w:r>
      <w:proofErr w:type="spellEnd"/>
      <w:r w:rsidRPr="00B06DAB">
        <w:rPr>
          <w:lang w:eastAsia="en-US"/>
        </w:rPr>
        <w:t>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строительство комплекса придорожного сервиса на 585+860 км трассы М 7 «Во</w:t>
      </w:r>
      <w:r w:rsidRPr="00B06DAB">
        <w:rPr>
          <w:lang w:eastAsia="en-US"/>
        </w:rPr>
        <w:t>л</w:t>
      </w:r>
      <w:r w:rsidRPr="00B06DAB">
        <w:rPr>
          <w:lang w:eastAsia="en-US"/>
        </w:rPr>
        <w:t>га», ООО «</w:t>
      </w:r>
      <w:proofErr w:type="spellStart"/>
      <w:r w:rsidRPr="00B06DAB">
        <w:rPr>
          <w:lang w:eastAsia="en-US"/>
        </w:rPr>
        <w:t>Засурское</w:t>
      </w:r>
      <w:proofErr w:type="spellEnd"/>
      <w:r w:rsidRPr="00B06DAB">
        <w:rPr>
          <w:lang w:eastAsia="en-US"/>
        </w:rPr>
        <w:t>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модернизация и техническое перевооружение производственных мощностей, АО «Завод «Электроприбор»;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производство гранулированных коагулянтов мощностью 10 тыс. тонн в год, ООО «Аурат-СВ»;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создание и освоение серийного производства модельного ряда гусеничных тракт</w:t>
      </w:r>
      <w:r w:rsidRPr="00B06DAB">
        <w:rPr>
          <w:lang w:eastAsia="en-US"/>
        </w:rPr>
        <w:t>о</w:t>
      </w:r>
      <w:r w:rsidRPr="00B06DAB">
        <w:rPr>
          <w:lang w:eastAsia="en-US"/>
        </w:rPr>
        <w:t>ров массой до 110 тонн, ООО «ПК «</w:t>
      </w:r>
      <w:proofErr w:type="spellStart"/>
      <w:r w:rsidRPr="00B06DAB">
        <w:rPr>
          <w:lang w:eastAsia="en-US"/>
        </w:rPr>
        <w:t>Промтрактор</w:t>
      </w:r>
      <w:proofErr w:type="spellEnd"/>
      <w:r w:rsidRPr="00B06DAB">
        <w:rPr>
          <w:lang w:eastAsia="en-US"/>
        </w:rPr>
        <w:t>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строительство завода объемно-блочного домостроения, ООО «Завод ОБД»;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организация импортозамещающего высокотехнологичного производства обуви из полиуретана, АО «ЧПО им. В.И. Чапаева»;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 xml:space="preserve">разработка отказоустойчивых </w:t>
      </w:r>
      <w:proofErr w:type="spellStart"/>
      <w:r w:rsidRPr="00B06DAB">
        <w:rPr>
          <w:lang w:eastAsia="en-US"/>
        </w:rPr>
        <w:t>мультиагентных</w:t>
      </w:r>
      <w:proofErr w:type="spellEnd"/>
      <w:r w:rsidRPr="00B06DAB">
        <w:rPr>
          <w:lang w:eastAsia="en-US"/>
        </w:rPr>
        <w:t xml:space="preserve"> АСУ ТП, АО «ЭЛАРА»;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освоение производства инновационных электротехнических изделий со строител</w:t>
      </w:r>
      <w:r w:rsidRPr="00B06DAB">
        <w:rPr>
          <w:lang w:eastAsia="en-US"/>
        </w:rPr>
        <w:t>ь</w:t>
      </w:r>
      <w:r w:rsidRPr="00B06DAB">
        <w:rPr>
          <w:lang w:eastAsia="en-US"/>
        </w:rPr>
        <w:t>ством новой производственной площадки, АО «НПО «Каскад»;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модернизация и реконструкция Чебоксарского молочного завода, ООО «Чебоксарский городской молочный завод»;</w:t>
      </w:r>
    </w:p>
    <w:p w:rsidR="00C916AF" w:rsidRPr="00B06DAB" w:rsidRDefault="00C916AF" w:rsidP="00C916AF">
      <w:pPr>
        <w:ind w:firstLine="709"/>
        <w:jc w:val="both"/>
        <w:rPr>
          <w:lang w:eastAsia="en-US"/>
        </w:rPr>
      </w:pPr>
      <w:r w:rsidRPr="00B06DAB">
        <w:rPr>
          <w:lang w:eastAsia="en-US"/>
        </w:rPr>
        <w:t>реконструкция и модернизация производственных объектов, ООО «Чебоксарский мясокомбинат».</w:t>
      </w:r>
    </w:p>
    <w:p w:rsidR="00930FE0" w:rsidRPr="00B06DAB" w:rsidRDefault="00930FE0" w:rsidP="0093624D">
      <w:pPr>
        <w:jc w:val="center"/>
        <w:rPr>
          <w:b/>
          <w:highlight w:val="yellow"/>
        </w:rPr>
      </w:pPr>
    </w:p>
    <w:p w:rsidR="00930FE0" w:rsidRPr="00B06DAB" w:rsidRDefault="00930FE0" w:rsidP="00930FE0">
      <w:pPr>
        <w:jc w:val="center"/>
        <w:rPr>
          <w:b/>
        </w:rPr>
      </w:pPr>
      <w:r w:rsidRPr="00B06DAB">
        <w:rPr>
          <w:b/>
        </w:rPr>
        <w:t>11. Консолидированный бюджет Чувашской Республики</w:t>
      </w:r>
    </w:p>
    <w:p w:rsidR="00930FE0" w:rsidRPr="00B06DAB" w:rsidRDefault="00930FE0" w:rsidP="00930FE0">
      <w:pPr>
        <w:ind w:firstLine="709"/>
        <w:jc w:val="center"/>
        <w:rPr>
          <w:b/>
          <w:highlight w:val="yellow"/>
        </w:rPr>
      </w:pPr>
    </w:p>
    <w:p w:rsidR="005A28AC" w:rsidRPr="00B06DAB" w:rsidRDefault="005A28AC" w:rsidP="005A28AC">
      <w:pPr>
        <w:ind w:firstLine="709"/>
        <w:jc w:val="both"/>
      </w:pPr>
      <w:r w:rsidRPr="00B06DAB">
        <w:t>Доходная часть консолидированного бюджета Чувашской Республики прогнозир</w:t>
      </w:r>
      <w:r w:rsidRPr="00B06DAB">
        <w:t>у</w:t>
      </w:r>
      <w:r w:rsidRPr="00B06DAB">
        <w:t>ется в 2020 году в сумме 67876,1 млн. рублей, что составляет 101,8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 xml:space="preserve"> к 2019 году. Налоговые доходы оцениваются в сумме 31563,9 млн. рублей, что составляет 46,5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</w:t>
      </w:r>
      <w:r w:rsidR="00F57BF0" w:rsidRPr="00B06DAB">
        <w:rPr>
          <w:bCs/>
        </w:rPr>
        <w:t>н</w:t>
      </w:r>
      <w:r w:rsidR="00F57BF0" w:rsidRPr="00B06DAB">
        <w:rPr>
          <w:bCs/>
        </w:rPr>
        <w:t>та</w:t>
      </w:r>
      <w:r w:rsidRPr="00B06DAB">
        <w:t xml:space="preserve"> доходов консолидированного бюджета Чувашской Республики и на 9,1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 xml:space="preserve"> мен</w:t>
      </w:r>
      <w:r w:rsidRPr="00B06DAB">
        <w:t>ь</w:t>
      </w:r>
      <w:r w:rsidRPr="00B06DAB">
        <w:t>ше, чем в 2019 году. Основными факторами снижения собственных доходов регионов стали: режим самоизоляции, ограничивший экономическую активность и последующие меры поддержки участников экономической деятельности, направленные на борьбу с п</w:t>
      </w:r>
      <w:r w:rsidRPr="00B06DAB">
        <w:t>о</w:t>
      </w:r>
      <w:r w:rsidRPr="00B06DAB">
        <w:t>следствиями пандемии в виде отсрочки и льгот по уплате налогов, сборов и арендных платежей.</w:t>
      </w:r>
    </w:p>
    <w:p w:rsidR="005A28AC" w:rsidRPr="00B06DAB" w:rsidRDefault="005A28AC" w:rsidP="005A28AC">
      <w:pPr>
        <w:ind w:firstLine="709"/>
        <w:jc w:val="both"/>
      </w:pPr>
      <w:r w:rsidRPr="00B06DAB">
        <w:t>По базовому варианту прогноза в 2023 году к уровню 2020 года прогнозируется рост налоговых доходов консолидированного бюджета Чувашской Республики на 20,1</w:t>
      </w:r>
      <w:r w:rsidR="00F57BF0">
        <w:rPr>
          <w:bCs/>
        </w:rPr>
        <w:t> </w:t>
      </w:r>
      <w:r w:rsidR="00F57BF0" w:rsidRPr="00B06DAB">
        <w:rPr>
          <w:bCs/>
        </w:rPr>
        <w:t>процента</w:t>
      </w:r>
      <w:r w:rsidRPr="00B06DAB">
        <w:t>.</w:t>
      </w:r>
    </w:p>
    <w:p w:rsidR="005A28AC" w:rsidRPr="00B06DAB" w:rsidRDefault="005A28AC" w:rsidP="005A28AC">
      <w:pPr>
        <w:ind w:firstLine="709"/>
        <w:jc w:val="both"/>
      </w:pPr>
      <w:r w:rsidRPr="00B06DAB">
        <w:t>Безвозмездные поступления из федерального бюджета в 2020 году</w:t>
      </w:r>
      <w:r w:rsidR="002A3EDF">
        <w:t>,</w:t>
      </w:r>
      <w:r w:rsidRPr="00B06DAB">
        <w:t xml:space="preserve"> по оценке</w:t>
      </w:r>
      <w:r w:rsidR="002A3EDF">
        <w:t>,</w:t>
      </w:r>
      <w:r w:rsidRPr="00B06DAB">
        <w:t xml:space="preserve"> с</w:t>
      </w:r>
      <w:r w:rsidRPr="00B06DAB">
        <w:t>о</w:t>
      </w:r>
      <w:r w:rsidRPr="00B06DAB">
        <w:t>ставят 33856,4 млн. рублей, или 123,3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 xml:space="preserve"> к уровню 2019 году, по базовому варианту прогноза в 2023 году прогнозируются в сумме 22442,9 млн. рублей, или на 33,7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 xml:space="preserve"> меньше, чем в 2020 году.</w:t>
      </w:r>
    </w:p>
    <w:p w:rsidR="005A28AC" w:rsidRPr="00B06DAB" w:rsidRDefault="005A28AC" w:rsidP="005A28AC">
      <w:pPr>
        <w:ind w:firstLine="709"/>
        <w:jc w:val="both"/>
      </w:pPr>
      <w:r w:rsidRPr="00B06DAB">
        <w:t>В общем объеме доходов консолидированного бюджета Чувашской Республики на долю налоговых доходов в 2019 году приходилось 5</w:t>
      </w:r>
      <w:r w:rsidR="00891BC8">
        <w:t>3,7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>, неналоговых доходов – 5,1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>, безвозмездных поступлений – 41,2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B06DAB">
        <w:t>.</w:t>
      </w:r>
    </w:p>
    <w:p w:rsidR="005A28AC" w:rsidRPr="00B06DAB" w:rsidRDefault="005A28AC" w:rsidP="005A28AC">
      <w:pPr>
        <w:ind w:firstLine="709"/>
        <w:jc w:val="both"/>
        <w:rPr>
          <w:color w:val="FF0000"/>
        </w:rPr>
      </w:pPr>
    </w:p>
    <w:p w:rsidR="005A28AC" w:rsidRPr="005A28AC" w:rsidRDefault="005A28AC" w:rsidP="005A28AC">
      <w:pPr>
        <w:jc w:val="center"/>
        <w:rPr>
          <w:b/>
          <w:bCs/>
        </w:rPr>
      </w:pPr>
      <w:r w:rsidRPr="005A28AC">
        <w:rPr>
          <w:b/>
          <w:bCs/>
        </w:rPr>
        <w:t>Структура налоговых доходов консолидированного бюджета</w:t>
      </w:r>
    </w:p>
    <w:p w:rsidR="005A28AC" w:rsidRPr="005A28AC" w:rsidRDefault="005A28AC" w:rsidP="005A28AC">
      <w:pPr>
        <w:ind w:firstLine="709"/>
        <w:jc w:val="center"/>
        <w:rPr>
          <w:b/>
          <w:bCs/>
        </w:rPr>
      </w:pPr>
      <w:r w:rsidRPr="005A28AC">
        <w:rPr>
          <w:b/>
          <w:bCs/>
        </w:rPr>
        <w:t>Чувашкой Республики за 2019 год, в процентах</w:t>
      </w:r>
    </w:p>
    <w:p w:rsidR="005A28AC" w:rsidRPr="005A28AC" w:rsidRDefault="005A28AC" w:rsidP="005A28AC">
      <w:pPr>
        <w:ind w:firstLine="709"/>
        <w:jc w:val="both"/>
        <w:rPr>
          <w:color w:val="FF0000"/>
          <w:highlight w:val="yellow"/>
        </w:rPr>
      </w:pPr>
      <w:r w:rsidRPr="005A28AC">
        <w:rPr>
          <w:noProof/>
          <w:color w:val="FF0000"/>
        </w:rPr>
        <w:drawing>
          <wp:inline distT="0" distB="0" distL="0" distR="0" wp14:anchorId="05040322" wp14:editId="05F8E381">
            <wp:extent cx="5420563" cy="3144231"/>
            <wp:effectExtent l="0" t="0" r="889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28AC" w:rsidRPr="005A28AC" w:rsidRDefault="005A28AC" w:rsidP="005A28AC">
      <w:pPr>
        <w:ind w:firstLine="709"/>
        <w:jc w:val="both"/>
        <w:rPr>
          <w:color w:val="FF0000"/>
          <w:highlight w:val="yellow"/>
        </w:rPr>
      </w:pPr>
    </w:p>
    <w:p w:rsidR="005A28AC" w:rsidRPr="005A28AC" w:rsidRDefault="005A28AC" w:rsidP="005A28AC">
      <w:pPr>
        <w:ind w:firstLine="709"/>
        <w:jc w:val="both"/>
      </w:pPr>
      <w:r w:rsidRPr="005A28AC">
        <w:t>Значительный удельный вес в налоговых доходах консолидированного бюджета Чувашской Республики занимают налог на доходы физических лиц (40,5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>), налог на прибыль организаций (24,6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>),</w:t>
      </w:r>
      <w:r w:rsidRPr="005A28AC">
        <w:rPr>
          <w:color w:val="FF0000"/>
        </w:rPr>
        <w:t xml:space="preserve"> </w:t>
      </w:r>
      <w:r w:rsidRPr="005A28AC">
        <w:t>акцизы (13,4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>), налог на имущество о</w:t>
      </w:r>
      <w:r w:rsidRPr="005A28AC">
        <w:t>р</w:t>
      </w:r>
      <w:r w:rsidRPr="005A28AC">
        <w:t>ганизаций (7,9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>).</w:t>
      </w:r>
    </w:p>
    <w:p w:rsidR="005A28AC" w:rsidRPr="005A28AC" w:rsidRDefault="005A28AC" w:rsidP="005A28AC">
      <w:pPr>
        <w:ind w:firstLine="709"/>
        <w:jc w:val="both"/>
      </w:pPr>
      <w:r w:rsidRPr="005A28AC">
        <w:t>Налог на прибыль организаций в 2020 году</w:t>
      </w:r>
      <w:r w:rsidR="002A3EDF">
        <w:t>,</w:t>
      </w:r>
      <w:r w:rsidRPr="005A28AC">
        <w:t xml:space="preserve"> по оценке</w:t>
      </w:r>
      <w:r w:rsidR="002A3EDF">
        <w:t>,</w:t>
      </w:r>
      <w:r w:rsidRPr="005A28AC">
        <w:t xml:space="preserve"> составит 7473,8 млн. ру</w:t>
      </w:r>
      <w:r w:rsidR="00B7392A">
        <w:t>б</w:t>
      </w:r>
      <w:r w:rsidRPr="005A28AC">
        <w:t>лей, что ниже уровня поступлений в 2019 году на 12,5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>. В 2023 году поступления налога на прибыль в консолидированный бюджет Чувашской Республики по базовому в</w:t>
      </w:r>
      <w:r w:rsidRPr="005A28AC">
        <w:t>а</w:t>
      </w:r>
      <w:r w:rsidRPr="005A28AC">
        <w:t>рианту составят 9264,6 млн. рублей, что на 24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 xml:space="preserve"> больше, чем в 2020 году.</w:t>
      </w:r>
    </w:p>
    <w:p w:rsidR="005A28AC" w:rsidRPr="005A28AC" w:rsidRDefault="005A28AC" w:rsidP="005A28AC">
      <w:pPr>
        <w:ind w:firstLine="709"/>
        <w:jc w:val="both"/>
      </w:pPr>
      <w:r w:rsidRPr="005A28AC">
        <w:t>Налог на доходы физических лиц в 2020 году</w:t>
      </w:r>
      <w:r w:rsidR="002A3EDF">
        <w:t>,</w:t>
      </w:r>
      <w:r w:rsidRPr="005A28AC">
        <w:t xml:space="preserve"> по оценке</w:t>
      </w:r>
      <w:r w:rsidR="002A3EDF">
        <w:t>,</w:t>
      </w:r>
      <w:r w:rsidRPr="005A28AC">
        <w:t xml:space="preserve"> составит 12765,7 млн. рублей, что на 9,3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 xml:space="preserve"> ниже уровня 2019 года. В 2023 году поступления налога на доходы физических лиц по базовому варианту прогноза составят 15203,6 млн. рублей, что на 19,1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 xml:space="preserve"> больше уровня 2020 года.</w:t>
      </w:r>
    </w:p>
    <w:p w:rsidR="005A28AC" w:rsidRPr="005A28AC" w:rsidRDefault="005A28AC" w:rsidP="005A28AC">
      <w:pPr>
        <w:ind w:firstLine="709"/>
        <w:jc w:val="both"/>
      </w:pPr>
      <w:r w:rsidRPr="005A28AC">
        <w:t>Поступление акцизов в 2020 году</w:t>
      </w:r>
      <w:r w:rsidR="002A3EDF">
        <w:t>,</w:t>
      </w:r>
      <w:r w:rsidRPr="005A28AC">
        <w:t xml:space="preserve"> по оценке</w:t>
      </w:r>
      <w:r w:rsidR="002A3EDF">
        <w:t>,</w:t>
      </w:r>
      <w:r w:rsidRPr="005A28AC">
        <w:t xml:space="preserve"> составит 4326,2 млн. рублей, что на 6,8</w:t>
      </w:r>
      <w:r w:rsidR="00F57BF0">
        <w:rPr>
          <w:bCs/>
        </w:rPr>
        <w:t> </w:t>
      </w:r>
      <w:r w:rsidR="00F57BF0" w:rsidRPr="00B06DAB">
        <w:rPr>
          <w:bCs/>
        </w:rPr>
        <w:t>процента</w:t>
      </w:r>
      <w:r w:rsidRPr="005A28AC">
        <w:t xml:space="preserve"> ниже, чем в 2019 году. В 2023 году поступления акцизов по базовому вар</w:t>
      </w:r>
      <w:r w:rsidRPr="005A28AC">
        <w:t>и</w:t>
      </w:r>
      <w:r w:rsidRPr="005A28AC">
        <w:t>анту прогноза составит 5320,1 млн. рублей, что на 23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 xml:space="preserve"> больше, чем в 2020 году.</w:t>
      </w:r>
    </w:p>
    <w:p w:rsidR="005A28AC" w:rsidRPr="005A28AC" w:rsidRDefault="005A28AC" w:rsidP="005A28AC">
      <w:pPr>
        <w:ind w:firstLine="709"/>
        <w:jc w:val="both"/>
      </w:pPr>
      <w:r w:rsidRPr="005A28AC">
        <w:t>Поступление налога на имущество организаций в 2020 году</w:t>
      </w:r>
      <w:r w:rsidR="0004245C">
        <w:t>,</w:t>
      </w:r>
      <w:r w:rsidRPr="005A28AC">
        <w:t xml:space="preserve"> по оценке</w:t>
      </w:r>
      <w:r w:rsidR="0004245C">
        <w:t>,</w:t>
      </w:r>
      <w:r w:rsidRPr="005A28AC">
        <w:t xml:space="preserve"> составит 2308,9 млн. рублей, или на 15,7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 xml:space="preserve"> меньше, чем в 2019 году</w:t>
      </w:r>
      <w:r w:rsidRPr="005A28AC">
        <w:rPr>
          <w:color w:val="FF0000"/>
        </w:rPr>
        <w:t xml:space="preserve">. </w:t>
      </w:r>
      <w:r w:rsidRPr="005A28AC">
        <w:t>В 2023 году поступл</w:t>
      </w:r>
      <w:r w:rsidRPr="005A28AC">
        <w:t>е</w:t>
      </w:r>
      <w:r w:rsidRPr="005A28AC">
        <w:t>ния налога на имущество организаций по базовому варианту прогноза составят 2872,1</w:t>
      </w:r>
      <w:r w:rsidR="004F07F1">
        <w:t> </w:t>
      </w:r>
      <w:r w:rsidRPr="005A28AC">
        <w:t>млн. рублей, что на 24,4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 xml:space="preserve"> больше уровня 2020 года.</w:t>
      </w:r>
    </w:p>
    <w:p w:rsidR="005A28AC" w:rsidRPr="005A28AC" w:rsidRDefault="005A28AC" w:rsidP="005A28AC">
      <w:pPr>
        <w:ind w:firstLine="709"/>
        <w:jc w:val="both"/>
      </w:pPr>
      <w:proofErr w:type="gramStart"/>
      <w:r w:rsidRPr="005A28AC">
        <w:t>Наибольшее снижение поступлений оценивается в 2020 году по налогу, взимаем</w:t>
      </w:r>
      <w:r w:rsidRPr="005A28AC">
        <w:t>о</w:t>
      </w:r>
      <w:r w:rsidRPr="005A28AC">
        <w:t>му в связи с применением упрощенной системы налогообложения на 27,9</w:t>
      </w:r>
      <w:r w:rsidR="00F57BF0" w:rsidRPr="00F57BF0">
        <w:rPr>
          <w:bCs/>
        </w:rPr>
        <w:t xml:space="preserve"> </w:t>
      </w:r>
      <w:r w:rsidR="00F57BF0" w:rsidRPr="00B06DAB">
        <w:rPr>
          <w:bCs/>
        </w:rPr>
        <w:t>процента</w:t>
      </w:r>
      <w:r w:rsidRPr="005A28AC">
        <w:t>, так как в соответствии с Законом Чувашской Республики «О вопросах налогового регулир</w:t>
      </w:r>
      <w:r w:rsidRPr="005A28AC">
        <w:t>о</w:t>
      </w:r>
      <w:r w:rsidRPr="005A28AC">
        <w:t xml:space="preserve">вания в Чувашской Республике, отнесенных законодательством Российской Федерации о налогах и сборах к ведению субъектов Российской Федерации» снижены ставки налогов для субъектов предпринимательской деятельности, чей вид деятельности </w:t>
      </w:r>
      <w:r w:rsidRPr="005A28AC">
        <w:rPr>
          <w:rFonts w:eastAsiaTheme="minorHAnsi"/>
          <w:lang w:eastAsia="en-US"/>
        </w:rPr>
        <w:t>вошел в</w:t>
      </w:r>
      <w:proofErr w:type="gramEnd"/>
      <w:r w:rsidRPr="005A28AC">
        <w:rPr>
          <w:rFonts w:eastAsiaTheme="minorHAnsi"/>
          <w:lang w:eastAsia="en-US"/>
        </w:rPr>
        <w:t xml:space="preserve"> пер</w:t>
      </w:r>
      <w:r w:rsidRPr="005A28AC">
        <w:rPr>
          <w:rFonts w:eastAsiaTheme="minorHAnsi"/>
          <w:lang w:eastAsia="en-US"/>
        </w:rPr>
        <w:t>е</w:t>
      </w:r>
      <w:r w:rsidRPr="005A28AC">
        <w:rPr>
          <w:rFonts w:eastAsiaTheme="minorHAnsi"/>
          <w:lang w:eastAsia="en-US"/>
        </w:rPr>
        <w:t xml:space="preserve">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A28AC">
        <w:rPr>
          <w:rFonts w:eastAsiaTheme="minorHAnsi"/>
          <w:lang w:eastAsia="en-US"/>
        </w:rPr>
        <w:t>коронавирусной</w:t>
      </w:r>
      <w:proofErr w:type="spellEnd"/>
      <w:r w:rsidRPr="005A28AC">
        <w:rPr>
          <w:rFonts w:eastAsiaTheme="minorHAnsi"/>
          <w:lang w:eastAsia="en-US"/>
        </w:rPr>
        <w:t xml:space="preserve"> инфекции, утвержденный Правительством Российской Федерации. </w:t>
      </w:r>
      <w:r w:rsidRPr="005A28AC">
        <w:t>В 2023 году поступления налога, взимаемому в связи с применением упрощенной системы налогообложения, по базовому варианту прогноза, не достигнут уровня поступлений 2019 года, и составят 2688,7 млн. рублей, что 34,4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 xml:space="preserve"> больше уровня 2020 года.</w:t>
      </w:r>
    </w:p>
    <w:p w:rsidR="005A28AC" w:rsidRPr="005A28AC" w:rsidRDefault="005A28AC" w:rsidP="005A28AC">
      <w:pPr>
        <w:ind w:firstLine="709"/>
        <w:jc w:val="both"/>
      </w:pPr>
      <w:r w:rsidRPr="005A28AC">
        <w:t>Общая сумма расходов консолидированного бюджета Чувашской Республики в 2020 году оценивается в объеме 73825,9 млн. рублей, или 119,4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 xml:space="preserve"> к уровню 2019</w:t>
      </w:r>
      <w:r w:rsidR="004F07F1">
        <w:t> </w:t>
      </w:r>
      <w:r w:rsidRPr="005A28AC">
        <w:t>года. К 2023 году по базовому варианту прогнозируется снижение расходов конс</w:t>
      </w:r>
      <w:r w:rsidRPr="005A28AC">
        <w:t>о</w:t>
      </w:r>
      <w:r w:rsidRPr="005A28AC">
        <w:t>лидированного бюджета Чувашской Республики до 62306,2 млн. рублей (84,4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 xml:space="preserve"> к уровню 2020 года).</w:t>
      </w:r>
    </w:p>
    <w:p w:rsidR="005A28AC" w:rsidRPr="005A28AC" w:rsidRDefault="005A28AC" w:rsidP="005A28AC">
      <w:pPr>
        <w:ind w:firstLine="709"/>
        <w:jc w:val="both"/>
      </w:pPr>
      <w:r w:rsidRPr="005A28AC">
        <w:t>В общей сумме расходов консолидированного бюджета Чувашской Республики в 2019 году наибольший объем расходов приходился на образование – 34,3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>, соц</w:t>
      </w:r>
      <w:r w:rsidRPr="005A28AC">
        <w:t>и</w:t>
      </w:r>
      <w:r w:rsidRPr="005A28AC">
        <w:t>альную политику – 21,8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>, национальную экономику – 17,3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>, здравоохр</w:t>
      </w:r>
      <w:r w:rsidRPr="005A28AC">
        <w:t>а</w:t>
      </w:r>
      <w:r w:rsidRPr="005A28AC">
        <w:t>нение – 7,7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5A28AC">
        <w:t>.</w:t>
      </w:r>
    </w:p>
    <w:p w:rsidR="00B06DAB" w:rsidRDefault="00B06DAB" w:rsidP="005A28AC">
      <w:pPr>
        <w:jc w:val="center"/>
        <w:rPr>
          <w:b/>
        </w:rPr>
      </w:pPr>
    </w:p>
    <w:p w:rsidR="005A28AC" w:rsidRPr="005A28AC" w:rsidRDefault="005A28AC" w:rsidP="005A28AC">
      <w:pPr>
        <w:jc w:val="center"/>
        <w:rPr>
          <w:b/>
        </w:rPr>
      </w:pPr>
      <w:r w:rsidRPr="005A28AC">
        <w:rPr>
          <w:b/>
        </w:rPr>
        <w:t>Структура расходов консолидированного бюджета</w:t>
      </w:r>
    </w:p>
    <w:p w:rsidR="005A28AC" w:rsidRPr="005A28AC" w:rsidRDefault="005A28AC" w:rsidP="005A28AC">
      <w:pPr>
        <w:jc w:val="center"/>
        <w:rPr>
          <w:b/>
        </w:rPr>
      </w:pPr>
      <w:r w:rsidRPr="005A28AC">
        <w:rPr>
          <w:b/>
        </w:rPr>
        <w:t>Чувашкой Республики за 2019 год, в процентах</w:t>
      </w:r>
    </w:p>
    <w:p w:rsidR="005A28AC" w:rsidRPr="005A28AC" w:rsidRDefault="005A28AC" w:rsidP="005A28AC">
      <w:pPr>
        <w:jc w:val="center"/>
        <w:rPr>
          <w:color w:val="FF0000"/>
          <w:lang w:val="en-US"/>
        </w:rPr>
      </w:pPr>
      <w:r w:rsidRPr="005A28AC">
        <w:rPr>
          <w:noProof/>
          <w:color w:val="FF0000"/>
        </w:rPr>
        <w:drawing>
          <wp:inline distT="0" distB="0" distL="0" distR="0" wp14:anchorId="383C8F86" wp14:editId="065AE259">
            <wp:extent cx="4514850" cy="2641600"/>
            <wp:effectExtent l="0" t="0" r="0" b="635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28AC" w:rsidRPr="005A28AC" w:rsidRDefault="005A28AC" w:rsidP="005A28AC">
      <w:pPr>
        <w:ind w:firstLine="709"/>
        <w:jc w:val="both"/>
        <w:rPr>
          <w:color w:val="FF0000"/>
        </w:rPr>
      </w:pPr>
    </w:p>
    <w:p w:rsidR="005A28AC" w:rsidRPr="00B06DAB" w:rsidRDefault="005A28AC" w:rsidP="005A28AC">
      <w:pPr>
        <w:ind w:firstLine="709"/>
        <w:jc w:val="both"/>
      </w:pPr>
      <w:r w:rsidRPr="00B06DAB">
        <w:t>Расходы консолидированного бюджета Чувашской Республики на образование в 2020 году</w:t>
      </w:r>
      <w:r w:rsidR="002A3EDF">
        <w:t>,</w:t>
      </w:r>
      <w:r w:rsidRPr="00B06DAB">
        <w:t xml:space="preserve"> по оценке</w:t>
      </w:r>
      <w:r w:rsidR="002A3EDF">
        <w:t>,</w:t>
      </w:r>
      <w:r w:rsidRPr="00B06DAB">
        <w:t xml:space="preserve"> составят 25324,0 млн. рублей, что на 19,4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выше уровня 2019</w:t>
      </w:r>
      <w:r w:rsidR="004F07F1">
        <w:t> </w:t>
      </w:r>
      <w:r w:rsidRPr="00B06DAB">
        <w:t>года. В 2023 году по базовому варианту расходы на образование по прогнозу сост</w:t>
      </w:r>
      <w:r w:rsidRPr="00B06DAB">
        <w:t>а</w:t>
      </w:r>
      <w:r w:rsidRPr="00B06DAB">
        <w:t>вят 21372,5 млн. рублей (84,4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к уровню 2020 года).</w:t>
      </w:r>
    </w:p>
    <w:p w:rsidR="005A28AC" w:rsidRPr="00B06DAB" w:rsidRDefault="005A28AC" w:rsidP="005A28AC">
      <w:pPr>
        <w:ind w:firstLine="709"/>
        <w:jc w:val="both"/>
      </w:pPr>
      <w:r w:rsidRPr="00B06DAB">
        <w:t>Расходы консолидированного бюджета Чувашской Республики на социальную п</w:t>
      </w:r>
      <w:r w:rsidRPr="00B06DAB">
        <w:t>о</w:t>
      </w:r>
      <w:r w:rsidRPr="00B06DAB">
        <w:t>литику и здравоохранение в 2020 году</w:t>
      </w:r>
      <w:r w:rsidR="002A3EDF">
        <w:t>,</w:t>
      </w:r>
      <w:r w:rsidRPr="00B06DAB">
        <w:t xml:space="preserve"> по оценке</w:t>
      </w:r>
      <w:r w:rsidR="002A3EDF">
        <w:t>,</w:t>
      </w:r>
      <w:r w:rsidRPr="00B06DAB">
        <w:t xml:space="preserve"> составят 16093,8 млн. рублей и 5677,4 млн. рублей соответственно. В 2023 году по базовому варианту расходы на соц</w:t>
      </w:r>
      <w:r w:rsidRPr="00B06DAB">
        <w:t>и</w:t>
      </w:r>
      <w:r w:rsidRPr="00B06DAB">
        <w:t>альную политику по прогнозу составят 13582,5 млн. рублей, на здравоохранение – 4791,5</w:t>
      </w:r>
      <w:r w:rsidR="004F07F1">
        <w:t> </w:t>
      </w:r>
      <w:r w:rsidRPr="00B06DAB">
        <w:t>млн. рублей.</w:t>
      </w:r>
    </w:p>
    <w:p w:rsidR="005A28AC" w:rsidRPr="00B06DAB" w:rsidRDefault="005A28AC" w:rsidP="005A28AC">
      <w:pPr>
        <w:ind w:firstLine="709"/>
        <w:jc w:val="both"/>
      </w:pPr>
      <w:r w:rsidRPr="00B06DAB">
        <w:t>На национальную экономику расходы консолидированного бюджета Чувашской Республики в 2020 году</w:t>
      </w:r>
      <w:r w:rsidR="002A3EDF">
        <w:t>,</w:t>
      </w:r>
      <w:r w:rsidRPr="00B06DAB">
        <w:t xml:space="preserve"> по оценке</w:t>
      </w:r>
      <w:r w:rsidR="002A3EDF">
        <w:t>,</w:t>
      </w:r>
      <w:r w:rsidRPr="00B06DAB">
        <w:t xml:space="preserve"> составят 12790,3 млн. рублей, или 119,4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к уровню 2019 года. В 2023 году по базовому варианту расходы на национальную эконом</w:t>
      </w:r>
      <w:r w:rsidRPr="00B06DAB">
        <w:t>и</w:t>
      </w:r>
      <w:r w:rsidRPr="00B06DAB">
        <w:t>ку прогнозируются в объеме 10794,5 млн. рублей.</w:t>
      </w:r>
    </w:p>
    <w:p w:rsidR="005A28AC" w:rsidRPr="00B06DAB" w:rsidRDefault="005A28AC" w:rsidP="005A28AC">
      <w:pPr>
        <w:ind w:firstLine="709"/>
        <w:jc w:val="both"/>
      </w:pPr>
      <w:r w:rsidRPr="00B06DAB">
        <w:t>В 2020 году прогнозируется дефицит бюджета в размере минус 5949,8 млн. рублей, к 2024 году прогнозируется профицит в размере 411,9 млн. рублей.</w:t>
      </w:r>
    </w:p>
    <w:p w:rsidR="005A28AC" w:rsidRPr="00B06DAB" w:rsidRDefault="005A28AC" w:rsidP="005A28AC">
      <w:pPr>
        <w:autoSpaceDE w:val="0"/>
        <w:autoSpaceDN w:val="0"/>
        <w:adjustRightInd w:val="0"/>
        <w:ind w:firstLine="709"/>
        <w:jc w:val="both"/>
      </w:pPr>
      <w:r w:rsidRPr="00B06DAB">
        <w:t>На 1 июля 2020 года государственный долг Чувашской Республики составил 7037,8 млн. рублей, или 22,2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к собственным доходам республиканского бюджета Чувашской Республики. </w:t>
      </w:r>
    </w:p>
    <w:p w:rsidR="005A28AC" w:rsidRPr="00B06DAB" w:rsidRDefault="005A28AC" w:rsidP="005A28AC">
      <w:pPr>
        <w:autoSpaceDE w:val="0"/>
        <w:autoSpaceDN w:val="0"/>
        <w:adjustRightInd w:val="0"/>
        <w:ind w:firstLine="709"/>
        <w:jc w:val="both"/>
      </w:pPr>
      <w:r w:rsidRPr="00B06DAB">
        <w:t>В структуре государственного долга Чувашской Республики бюджетные кредиты, привлеченные из федерального бюджета, составляют 99,1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(6973,5 млн. рублей), государственные гарантии Чувашской Республики – 0,9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(64,3 млн. рублей). </w:t>
      </w:r>
    </w:p>
    <w:p w:rsidR="005A28AC" w:rsidRPr="00B06DAB" w:rsidRDefault="005A28AC" w:rsidP="005A28AC">
      <w:pPr>
        <w:ind w:firstLine="709"/>
        <w:jc w:val="both"/>
      </w:pPr>
      <w:proofErr w:type="gramStart"/>
      <w:r w:rsidRPr="00B06DAB">
        <w:t>Верхний предел государственного долга Чувашской Республики на 1 января 2021 года предусмотрен в объеме 10096,8 млн. рублей (31,8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к собственным до-ходам республиканского бюджета Чувашской Республики), объем рыночных долговых обязательств – 3744,0 млн. рублей (11,8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к собственным доходам республика</w:t>
      </w:r>
      <w:r w:rsidRPr="00B06DAB">
        <w:t>н</w:t>
      </w:r>
      <w:r w:rsidRPr="00B06DAB">
        <w:t>ского бюджета Чувашской Республики).</w:t>
      </w:r>
      <w:proofErr w:type="gramEnd"/>
    </w:p>
    <w:p w:rsidR="005A28AC" w:rsidRPr="00B06DAB" w:rsidRDefault="005A28AC" w:rsidP="005A28AC">
      <w:pPr>
        <w:autoSpaceDE w:val="0"/>
        <w:autoSpaceDN w:val="0"/>
        <w:adjustRightInd w:val="0"/>
        <w:ind w:firstLine="709"/>
        <w:jc w:val="both"/>
      </w:pPr>
      <w:r w:rsidRPr="00B06DAB">
        <w:t>Объем верхнего предела государственного внутреннего долга Чувашской Респу</w:t>
      </w:r>
      <w:r w:rsidRPr="00B06DAB">
        <w:t>б</w:t>
      </w:r>
      <w:r w:rsidRPr="00B06DAB">
        <w:t>лики на 1 января 2022 года будет предусмотрен в пределах ограничений, установленных положениями Бюджетного кодекса Российской Федерации. Согласно пункту 2 статьи 107</w:t>
      </w:r>
      <w:r w:rsidR="004F07F1">
        <w:t> </w:t>
      </w:r>
      <w:r w:rsidRPr="00B06DAB">
        <w:t>Бюджетного кодекса Российской Федерации предельный объем государственного долга субъекта Российской Федерации не должен превышать утвержденный общий год</w:t>
      </w:r>
      <w:r w:rsidRPr="00B06DAB">
        <w:t>о</w:t>
      </w:r>
      <w:r w:rsidRPr="00B06DAB">
        <w:t xml:space="preserve">вой объем доходов бюджета субъекта Российской Федерации без учета утвержденного объема безвозмездных поступлений. </w:t>
      </w:r>
    </w:p>
    <w:p w:rsidR="005A28AC" w:rsidRPr="00B06DAB" w:rsidRDefault="005A28AC" w:rsidP="005A28AC">
      <w:pPr>
        <w:ind w:firstLine="709"/>
        <w:jc w:val="both"/>
        <w:rPr>
          <w:highlight w:val="yellow"/>
        </w:rPr>
      </w:pPr>
      <w:r w:rsidRPr="00B06DAB">
        <w:t>Источниками погашения долговых обязательств будут являться собственные дох</w:t>
      </w:r>
      <w:r w:rsidRPr="00B06DAB">
        <w:t>о</w:t>
      </w:r>
      <w:r w:rsidRPr="00B06DAB">
        <w:t>ды и государственные внутренние заимствования. В соответствии со статьей 103 Бюдже</w:t>
      </w:r>
      <w:r w:rsidRPr="00B06DAB">
        <w:t>т</w:t>
      </w:r>
      <w:r w:rsidRPr="00B06DAB">
        <w:t>ного кодекса Российской Федерации государственные внутренние заимствования ос</w:t>
      </w:r>
      <w:r w:rsidRPr="00B06DAB">
        <w:t>у</w:t>
      </w:r>
      <w:r w:rsidRPr="00B06DAB">
        <w:t>ществляются в целях финансирования дефицитов бюджетов, а также для погашения до</w:t>
      </w:r>
      <w:r w:rsidRPr="00B06DAB">
        <w:t>л</w:t>
      </w:r>
      <w:r w:rsidRPr="00B06DAB">
        <w:t>говых обязательств</w:t>
      </w:r>
      <w:r w:rsidRPr="00B06DAB">
        <w:rPr>
          <w:rFonts w:eastAsiaTheme="minorHAnsi"/>
          <w:color w:val="000000"/>
          <w:lang w:eastAsia="en-US"/>
        </w:rPr>
        <w:t>.</w:t>
      </w:r>
    </w:p>
    <w:p w:rsidR="00930FE0" w:rsidRPr="00B06DAB" w:rsidRDefault="00930FE0" w:rsidP="0093624D">
      <w:pPr>
        <w:jc w:val="center"/>
        <w:rPr>
          <w:b/>
          <w:highlight w:val="yellow"/>
        </w:rPr>
      </w:pPr>
    </w:p>
    <w:p w:rsidR="00930FE0" w:rsidRPr="00B06DAB" w:rsidRDefault="00930FE0" w:rsidP="000F321C">
      <w:pPr>
        <w:spacing w:line="312" w:lineRule="auto"/>
        <w:jc w:val="center"/>
        <w:rPr>
          <w:b/>
          <w:bCs/>
        </w:rPr>
      </w:pPr>
      <w:r w:rsidRPr="00B06DAB">
        <w:rPr>
          <w:b/>
        </w:rPr>
        <w:t xml:space="preserve">11. </w:t>
      </w:r>
      <w:r w:rsidRPr="00B06DAB">
        <w:rPr>
          <w:b/>
          <w:bCs/>
        </w:rPr>
        <w:t>Денежные доходы населения</w:t>
      </w:r>
    </w:p>
    <w:p w:rsidR="00930FE0" w:rsidRPr="00B06DAB" w:rsidRDefault="00930FE0" w:rsidP="0093624D">
      <w:pPr>
        <w:jc w:val="center"/>
        <w:rPr>
          <w:b/>
          <w:highlight w:val="yellow"/>
        </w:rPr>
      </w:pPr>
    </w:p>
    <w:p w:rsidR="0093624D" w:rsidRPr="00B06DAB" w:rsidRDefault="000F6903" w:rsidP="0093624D">
      <w:pPr>
        <w:ind w:firstLine="708"/>
        <w:jc w:val="both"/>
        <w:rPr>
          <w:highlight w:val="yellow"/>
        </w:rPr>
      </w:pPr>
      <w:r w:rsidRPr="00B06DAB">
        <w:t>Т</w:t>
      </w:r>
      <w:r w:rsidR="0093624D" w:rsidRPr="00B06DAB">
        <w:t>енденции развития реального сектора экономики в прогнозном периоде повлияют на динамику реальной заработной платы, денежных доходов населения. В результате р</w:t>
      </w:r>
      <w:r w:rsidR="0093624D" w:rsidRPr="00B06DAB">
        <w:t>е</w:t>
      </w:r>
      <w:r w:rsidR="0093624D" w:rsidRPr="00B06DAB">
        <w:t>альн</w:t>
      </w:r>
      <w:r w:rsidRPr="00B06DAB">
        <w:t>ые располагаемые денежные доходы населения</w:t>
      </w:r>
      <w:r w:rsidR="002A3EDF">
        <w:t>,</w:t>
      </w:r>
      <w:r w:rsidR="0093624D" w:rsidRPr="00B06DAB">
        <w:t xml:space="preserve"> по оценке</w:t>
      </w:r>
      <w:r w:rsidR="002A3EDF">
        <w:t>,</w:t>
      </w:r>
      <w:r w:rsidR="0093624D" w:rsidRPr="00B06DAB">
        <w:t xml:space="preserve"> в 20</w:t>
      </w:r>
      <w:r w:rsidRPr="00B06DAB">
        <w:t>20</w:t>
      </w:r>
      <w:r w:rsidR="0093624D" w:rsidRPr="00B06DAB">
        <w:t xml:space="preserve"> году состав</w:t>
      </w:r>
      <w:r w:rsidRPr="00B06DAB">
        <w:t>я</w:t>
      </w:r>
      <w:r w:rsidR="0093624D" w:rsidRPr="00B06DAB">
        <w:t xml:space="preserve">т </w:t>
      </w:r>
      <w:r w:rsidR="000F321C" w:rsidRPr="00B06DAB">
        <w:t>98,2</w:t>
      </w:r>
      <w:r w:rsidR="004F07F1">
        <w:rPr>
          <w:bCs/>
        </w:rPr>
        <w:t> </w:t>
      </w:r>
      <w:r w:rsidR="004F07F1" w:rsidRPr="00B06DAB">
        <w:rPr>
          <w:bCs/>
        </w:rPr>
        <w:t>процента</w:t>
      </w:r>
      <w:r w:rsidR="0093624D" w:rsidRPr="00B06DAB">
        <w:t xml:space="preserve">. </w:t>
      </w:r>
      <w:r w:rsidR="000F321C" w:rsidRPr="00B06DAB">
        <w:rPr>
          <w:lang w:eastAsia="en-US"/>
        </w:rPr>
        <w:t>Комплекс мероприятий, направленных на восстановление занятости и д</w:t>
      </w:r>
      <w:r w:rsidR="000F321C" w:rsidRPr="00B06DAB">
        <w:rPr>
          <w:lang w:eastAsia="en-US"/>
        </w:rPr>
        <w:t>о</w:t>
      </w:r>
      <w:r w:rsidR="000F321C" w:rsidRPr="00B06DAB">
        <w:rPr>
          <w:lang w:eastAsia="en-US"/>
        </w:rPr>
        <w:t>ходов населения, а также ускорение роста экономики, позволит в среднесрочной перспе</w:t>
      </w:r>
      <w:r w:rsidR="000F321C" w:rsidRPr="00B06DAB">
        <w:rPr>
          <w:lang w:eastAsia="en-US"/>
        </w:rPr>
        <w:t>к</w:t>
      </w:r>
      <w:r w:rsidR="000F321C" w:rsidRPr="00B06DAB">
        <w:rPr>
          <w:lang w:eastAsia="en-US"/>
        </w:rPr>
        <w:t xml:space="preserve">тиве </w:t>
      </w:r>
      <w:r w:rsidR="00D87F96" w:rsidRPr="00B06DAB">
        <w:rPr>
          <w:lang w:eastAsia="en-US"/>
        </w:rPr>
        <w:t xml:space="preserve">повысить уровень </w:t>
      </w:r>
      <w:r w:rsidR="00D87F96" w:rsidRPr="00B06DAB">
        <w:t>реальных располагаемых денежных доходов населения: в</w:t>
      </w:r>
      <w:r w:rsidR="0093624D" w:rsidRPr="00B06DAB">
        <w:t xml:space="preserve"> 202</w:t>
      </w:r>
      <w:r w:rsidR="00D87F96" w:rsidRPr="00B06DAB">
        <w:t>3</w:t>
      </w:r>
      <w:r w:rsidR="0093624D" w:rsidRPr="00B06DAB">
        <w:t xml:space="preserve"> г</w:t>
      </w:r>
      <w:r w:rsidR="0093624D" w:rsidRPr="00B06DAB">
        <w:t>о</w:t>
      </w:r>
      <w:r w:rsidR="0093624D" w:rsidRPr="00B06DAB">
        <w:t>ду по прогнозу</w:t>
      </w:r>
      <w:r w:rsidR="0093624D" w:rsidRPr="004F07F1">
        <w:t xml:space="preserve"> </w:t>
      </w:r>
      <w:r w:rsidR="00D87F96" w:rsidRPr="00B06DAB">
        <w:t>показатель составит 103,1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="00D87F96" w:rsidRPr="00B06DAB">
        <w:t xml:space="preserve"> по</w:t>
      </w:r>
      <w:r w:rsidR="0093624D" w:rsidRPr="00B06DAB">
        <w:t xml:space="preserve"> базовому варианту и по сравнению с 201</w:t>
      </w:r>
      <w:r w:rsidR="00D87F96" w:rsidRPr="00B06DAB">
        <w:t>9</w:t>
      </w:r>
      <w:r w:rsidR="0093624D" w:rsidRPr="00B06DAB">
        <w:t xml:space="preserve"> годом увеличится </w:t>
      </w:r>
      <w:r w:rsidR="00D87F96" w:rsidRPr="00B06DAB">
        <w:t>на 6,6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="0093624D" w:rsidRPr="00B06DAB">
        <w:t xml:space="preserve">. </w:t>
      </w:r>
      <w:r w:rsidR="004F07F1">
        <w:t xml:space="preserve"> </w:t>
      </w:r>
    </w:p>
    <w:p w:rsidR="0093624D" w:rsidRDefault="0093624D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Default="005A00BB" w:rsidP="0093624D">
      <w:pPr>
        <w:pStyle w:val="a3"/>
        <w:jc w:val="center"/>
        <w:rPr>
          <w:b/>
          <w:highlight w:val="yellow"/>
        </w:rPr>
      </w:pPr>
    </w:p>
    <w:p w:rsidR="005A00BB" w:rsidRPr="00B06DAB" w:rsidRDefault="005A00BB" w:rsidP="0093624D">
      <w:pPr>
        <w:pStyle w:val="a3"/>
        <w:jc w:val="center"/>
        <w:rPr>
          <w:b/>
          <w:highlight w:val="yellow"/>
        </w:rPr>
      </w:pPr>
    </w:p>
    <w:p w:rsidR="0093624D" w:rsidRPr="00B06DAB" w:rsidRDefault="00D87F96" w:rsidP="0093624D">
      <w:pPr>
        <w:ind w:firstLine="567"/>
        <w:jc w:val="center"/>
        <w:rPr>
          <w:b/>
          <w:highlight w:val="yellow"/>
        </w:rPr>
      </w:pPr>
      <w:r w:rsidRPr="00B06DAB">
        <w:rPr>
          <w:b/>
        </w:rPr>
        <w:t>Реальные располагаемые денежные доходы населения</w:t>
      </w:r>
      <w:r w:rsidR="0093624D" w:rsidRPr="00B06DAB">
        <w:rPr>
          <w:b/>
        </w:rPr>
        <w:t xml:space="preserve">, </w:t>
      </w:r>
      <w:r w:rsidRPr="00B06DAB">
        <w:rPr>
          <w:b/>
        </w:rPr>
        <w:t>%</w:t>
      </w:r>
      <w:r w:rsidR="0093624D" w:rsidRPr="00B06DAB">
        <w:rPr>
          <w:b/>
        </w:rPr>
        <w:t xml:space="preserve"> </w:t>
      </w:r>
    </w:p>
    <w:p w:rsidR="0093624D" w:rsidRPr="00B06DAB" w:rsidRDefault="0093624D" w:rsidP="0093624D">
      <w:pPr>
        <w:ind w:firstLine="567"/>
        <w:jc w:val="center"/>
        <w:rPr>
          <w:b/>
          <w:highlight w:val="yellow"/>
        </w:rPr>
      </w:pPr>
    </w:p>
    <w:p w:rsidR="0093624D" w:rsidRPr="00422F38" w:rsidRDefault="0093624D" w:rsidP="0093624D">
      <w:pPr>
        <w:jc w:val="center"/>
        <w:rPr>
          <w:b/>
          <w:snapToGrid w:val="0"/>
          <w:highlight w:val="yellow"/>
        </w:rPr>
      </w:pPr>
      <w:r w:rsidRPr="00422F38">
        <w:rPr>
          <w:noProof/>
          <w:color w:val="C00000"/>
          <w:highlight w:val="yellow"/>
        </w:rPr>
        <w:drawing>
          <wp:inline distT="0" distB="0" distL="0" distR="0" wp14:anchorId="791A88FD" wp14:editId="0A064454">
            <wp:extent cx="5528930" cy="2179674"/>
            <wp:effectExtent l="0" t="0" r="0" b="0"/>
            <wp:docPr id="507" name="Объект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624D" w:rsidRPr="00B06DAB" w:rsidRDefault="0093624D" w:rsidP="0093624D">
      <w:pPr>
        <w:ind w:firstLine="709"/>
        <w:jc w:val="both"/>
      </w:pPr>
      <w:r w:rsidRPr="00B06DAB">
        <w:t xml:space="preserve">По предварительным данным </w:t>
      </w:r>
      <w:proofErr w:type="spellStart"/>
      <w:r w:rsidRPr="00B06DAB">
        <w:t>Чувашстата</w:t>
      </w:r>
      <w:proofErr w:type="spellEnd"/>
      <w:r w:rsidRPr="00B06DAB">
        <w:t xml:space="preserve"> численность населения с денежными д</w:t>
      </w:r>
      <w:r w:rsidRPr="00B06DAB">
        <w:t>о</w:t>
      </w:r>
      <w:r w:rsidRPr="00B06DAB">
        <w:t>ходами ниже величины прожиточного минимума</w:t>
      </w:r>
      <w:r w:rsidR="00393C30" w:rsidRPr="00B06DAB">
        <w:t xml:space="preserve"> </w:t>
      </w:r>
      <w:r w:rsidRPr="00B06DAB">
        <w:t>по итогам 201</w:t>
      </w:r>
      <w:r w:rsidR="00393C30" w:rsidRPr="00B06DAB">
        <w:t>9</w:t>
      </w:r>
      <w:r w:rsidRPr="00B06DAB">
        <w:t xml:space="preserve"> год составил</w:t>
      </w:r>
      <w:r w:rsidR="00393C30" w:rsidRPr="00B06DAB">
        <w:t>а 17,4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</w:t>
      </w:r>
      <w:r w:rsidR="004F07F1" w:rsidRPr="00B06DAB">
        <w:rPr>
          <w:bCs/>
        </w:rPr>
        <w:t>о</w:t>
      </w:r>
      <w:r w:rsidR="004F07F1" w:rsidRPr="00B06DAB">
        <w:rPr>
          <w:bCs/>
        </w:rPr>
        <w:t>цента</w:t>
      </w:r>
      <w:r w:rsidRPr="00B06DAB">
        <w:t xml:space="preserve"> от общей численности населения. По сравнению с 201</w:t>
      </w:r>
      <w:r w:rsidR="00393C30" w:rsidRPr="00B06DAB">
        <w:t xml:space="preserve">8 </w:t>
      </w:r>
      <w:r w:rsidRPr="00B06DAB">
        <w:t>годом уровень бедности с</w:t>
      </w:r>
      <w:r w:rsidRPr="00B06DAB">
        <w:t>о</w:t>
      </w:r>
      <w:r w:rsidRPr="00B06DAB">
        <w:t>кратился на 0,</w:t>
      </w:r>
      <w:r w:rsidR="00393C30" w:rsidRPr="00B06DAB">
        <w:t>4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>.</w:t>
      </w:r>
    </w:p>
    <w:p w:rsidR="0093624D" w:rsidRPr="00B06DAB" w:rsidRDefault="0093624D" w:rsidP="0093624D">
      <w:pPr>
        <w:ind w:firstLine="709"/>
        <w:jc w:val="both"/>
        <w:rPr>
          <w:i/>
        </w:rPr>
      </w:pPr>
      <w:r w:rsidRPr="00B06DAB">
        <w:t>В 20</w:t>
      </w:r>
      <w:r w:rsidR="00393C30" w:rsidRPr="00B06DAB">
        <w:t>20</w:t>
      </w:r>
      <w:r w:rsidRPr="00B06DAB">
        <w:t xml:space="preserve"> году доля населения с доходами ниже величины прожиточного минимума</w:t>
      </w:r>
      <w:r w:rsidR="00393C30" w:rsidRPr="00B06DAB">
        <w:t>,</w:t>
      </w:r>
      <w:r w:rsidRPr="00B06DAB">
        <w:t xml:space="preserve"> </w:t>
      </w:r>
      <w:r w:rsidR="00393C30" w:rsidRPr="00B06DAB">
        <w:t xml:space="preserve">по оценке, </w:t>
      </w:r>
      <w:r w:rsidRPr="00B06DAB">
        <w:t xml:space="preserve">составит </w:t>
      </w:r>
      <w:r w:rsidR="00DC5CD3" w:rsidRPr="00B06DAB">
        <w:t>17</w:t>
      </w:r>
      <w:r w:rsidR="004F07F1" w:rsidRPr="004F07F1">
        <w:rPr>
          <w:bCs/>
        </w:rPr>
        <w:t xml:space="preserve"> </w:t>
      </w:r>
      <w:r w:rsidR="004F07F1">
        <w:rPr>
          <w:bCs/>
        </w:rPr>
        <w:t>процентов</w:t>
      </w:r>
      <w:r w:rsidRPr="00B06DAB">
        <w:t xml:space="preserve">. </w:t>
      </w:r>
      <w:proofErr w:type="gramStart"/>
      <w:r w:rsidRPr="00B06DAB">
        <w:t>В прогнозируемом периоде рост</w:t>
      </w:r>
      <w:r w:rsidR="00D3302D" w:rsidRPr="00B06DAB">
        <w:t xml:space="preserve"> экономики</w:t>
      </w:r>
      <w:r w:rsidRPr="00B06DAB">
        <w:t>, реальных денежных доходов населения и замедление роста инфляции обеспечат снижение уровня бедности в 202</w:t>
      </w:r>
      <w:r w:rsidR="00DC5CD3" w:rsidRPr="00B06DAB">
        <w:t>3</w:t>
      </w:r>
      <w:r w:rsidRPr="00B06DAB">
        <w:t xml:space="preserve"> году до </w:t>
      </w:r>
      <w:r w:rsidR="00DC5CD3" w:rsidRPr="00B06DAB">
        <w:t>10,6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по базовому варианту </w:t>
      </w:r>
      <w:r w:rsidRPr="00B06DAB">
        <w:rPr>
          <w:i/>
        </w:rPr>
        <w:t>(в расчет базового варианта уровня бедности взяты показатели</w:t>
      </w:r>
      <w:r w:rsidR="00DC5CD3" w:rsidRPr="00B06DAB">
        <w:rPr>
          <w:i/>
        </w:rPr>
        <w:t>, утвержденные рабочей группой по рассмотрению вопросов, связанных с обоснованием и защитой планируемых на отчетный и плановый периоды и достигнутых субъектами Российской Федерации за отчетный период знач</w:t>
      </w:r>
      <w:r w:rsidR="00DC5CD3" w:rsidRPr="00B06DAB">
        <w:rPr>
          <w:i/>
        </w:rPr>
        <w:t>е</w:t>
      </w:r>
      <w:r w:rsidR="00DC5CD3" w:rsidRPr="00B06DAB">
        <w:rPr>
          <w:i/>
        </w:rPr>
        <w:t>ний</w:t>
      </w:r>
      <w:proofErr w:type="gramEnd"/>
      <w:r w:rsidR="00DC5CD3" w:rsidRPr="00B06DAB">
        <w:rPr>
          <w:i/>
        </w:rPr>
        <w:t xml:space="preserve"> показателей для оценки эффективности деятельности высших должностных лиц субъектов Российской Федерации, при Президиуме Совета при Президенте Российской Федерации по стратегическому развитию и национальным проектам от 3 октября 2019</w:t>
      </w:r>
      <w:r w:rsidR="004F07F1">
        <w:rPr>
          <w:i/>
        </w:rPr>
        <w:t> </w:t>
      </w:r>
      <w:r w:rsidR="00DC5CD3" w:rsidRPr="00B06DAB">
        <w:rPr>
          <w:i/>
        </w:rPr>
        <w:t>г. № 2</w:t>
      </w:r>
      <w:r w:rsidRPr="00B06DAB">
        <w:rPr>
          <w:i/>
        </w:rPr>
        <w:t>).</w:t>
      </w:r>
    </w:p>
    <w:p w:rsidR="0093624D" w:rsidRPr="00B06DAB" w:rsidRDefault="0093624D" w:rsidP="0093624D">
      <w:pPr>
        <w:ind w:firstLine="709"/>
        <w:jc w:val="both"/>
        <w:rPr>
          <w:bCs/>
          <w:highlight w:val="yellow"/>
        </w:rPr>
      </w:pPr>
      <w:proofErr w:type="gramStart"/>
      <w:r w:rsidRPr="00B06DAB">
        <w:t xml:space="preserve">Сокращению доли населения с доходами ниже величины прожиточного минимума в прогнозируемом периоде будет способствовать </w:t>
      </w:r>
      <w:r w:rsidRPr="00B06DAB">
        <w:rPr>
          <w:bCs/>
        </w:rPr>
        <w:t>проводимая в Российской Федерации и Чувашской Республике социально направленная политика: государственные пособия, в</w:t>
      </w:r>
      <w:r w:rsidRPr="00B06DAB">
        <w:rPr>
          <w:bCs/>
        </w:rPr>
        <w:t>ы</w:t>
      </w:r>
      <w:r w:rsidRPr="00B06DAB">
        <w:rPr>
          <w:bCs/>
        </w:rPr>
        <w:t>плачиваемые семьям с детьми, федеральный и республиканский материнский (семейный) капитал, ежемесячные денежные выплаты в связи с рождением первого ребенка, а также третьего ребенка или последующих детей до достижения ими возраста трех лет, пред</w:t>
      </w:r>
      <w:r w:rsidRPr="00B06DAB">
        <w:rPr>
          <w:bCs/>
        </w:rPr>
        <w:t>о</w:t>
      </w:r>
      <w:r w:rsidRPr="00B06DAB">
        <w:rPr>
          <w:bCs/>
        </w:rPr>
        <w:t>ставление земельных</w:t>
      </w:r>
      <w:proofErr w:type="gramEnd"/>
      <w:r w:rsidRPr="00B06DAB">
        <w:rPr>
          <w:bCs/>
        </w:rPr>
        <w:t xml:space="preserve"> </w:t>
      </w:r>
      <w:proofErr w:type="gramStart"/>
      <w:r w:rsidRPr="00B06DAB">
        <w:rPr>
          <w:bCs/>
        </w:rPr>
        <w:t>участков многодетным семьям и др. Также предусматриваются м</w:t>
      </w:r>
      <w:r w:rsidRPr="00B06DAB">
        <w:rPr>
          <w:bCs/>
        </w:rPr>
        <w:t>е</w:t>
      </w:r>
      <w:r w:rsidRPr="00B06DAB">
        <w:rPr>
          <w:bCs/>
        </w:rPr>
        <w:t>роприятия, направленные на: расширение категории получателей ежемесячной денежной выплаты на третьего ребенка или последующих детей; предоставление ежемесячной д</w:t>
      </w:r>
      <w:r w:rsidRPr="00B06DAB">
        <w:rPr>
          <w:bCs/>
        </w:rPr>
        <w:t>е</w:t>
      </w:r>
      <w:r w:rsidRPr="00B06DAB">
        <w:rPr>
          <w:bCs/>
        </w:rPr>
        <w:t>нежной выплаты в счет республиканского материнского (семейного) капитала в размере величины прожиточного минимума для детей по аналогии с государственным матери</w:t>
      </w:r>
      <w:r w:rsidRPr="00B06DAB">
        <w:rPr>
          <w:bCs/>
        </w:rPr>
        <w:t>н</w:t>
      </w:r>
      <w:r w:rsidRPr="00B06DAB">
        <w:rPr>
          <w:bCs/>
        </w:rPr>
        <w:t>ским (семейным) капиталом; предоставление социальных выплат в рамках социального контракта;</w:t>
      </w:r>
      <w:proofErr w:type="gramEnd"/>
      <w:r w:rsidRPr="00B06DAB">
        <w:rPr>
          <w:bCs/>
        </w:rPr>
        <w:t xml:space="preserve"> предоставление единовременных выплат малоимущим гражданам на развитие </w:t>
      </w:r>
      <w:proofErr w:type="gramStart"/>
      <w:r w:rsidRPr="00B06DAB">
        <w:rPr>
          <w:bCs/>
        </w:rPr>
        <w:t>личного</w:t>
      </w:r>
      <w:proofErr w:type="gramEnd"/>
      <w:r w:rsidRPr="00B06DAB">
        <w:rPr>
          <w:bCs/>
        </w:rPr>
        <w:t xml:space="preserve"> подсобного хозяйства и др. </w:t>
      </w:r>
    </w:p>
    <w:p w:rsidR="0093624D" w:rsidRPr="00B06DAB" w:rsidRDefault="0093624D" w:rsidP="0093624D">
      <w:pPr>
        <w:ind w:firstLine="709"/>
        <w:jc w:val="both"/>
        <w:rPr>
          <w:bCs/>
          <w:highlight w:val="yellow"/>
        </w:rPr>
      </w:pPr>
    </w:p>
    <w:p w:rsidR="0093624D" w:rsidRPr="00B06DAB" w:rsidRDefault="00930FE0" w:rsidP="0093624D">
      <w:pPr>
        <w:jc w:val="center"/>
        <w:rPr>
          <w:b/>
          <w:bCs/>
        </w:rPr>
      </w:pPr>
      <w:r w:rsidRPr="00B06DAB">
        <w:rPr>
          <w:b/>
          <w:bCs/>
        </w:rPr>
        <w:t>12</w:t>
      </w:r>
      <w:r w:rsidR="0093624D" w:rsidRPr="00B06DAB">
        <w:rPr>
          <w:b/>
          <w:bCs/>
        </w:rPr>
        <w:t>. Труд и занятость</w:t>
      </w:r>
    </w:p>
    <w:p w:rsidR="0093624D" w:rsidRPr="00B06DAB" w:rsidRDefault="0093624D" w:rsidP="0093624D">
      <w:pPr>
        <w:jc w:val="center"/>
        <w:rPr>
          <w:b/>
          <w:bCs/>
          <w:highlight w:val="yellow"/>
        </w:rPr>
      </w:pPr>
    </w:p>
    <w:p w:rsidR="00D645F6" w:rsidRPr="00B06DAB" w:rsidRDefault="00D645F6" w:rsidP="002C61E1">
      <w:pPr>
        <w:tabs>
          <w:tab w:val="left" w:pos="709"/>
        </w:tabs>
        <w:ind w:firstLine="709"/>
        <w:jc w:val="both"/>
      </w:pPr>
      <w:r w:rsidRPr="00B06DAB">
        <w:t>В результате реализации активной политики занятости и социальной поддержки безработных граждан ситуация на рынке труда республики</w:t>
      </w:r>
      <w:r w:rsidR="002C61E1" w:rsidRPr="00B06DAB">
        <w:t xml:space="preserve"> </w:t>
      </w:r>
      <w:r w:rsidRPr="00B06DAB">
        <w:t>в 2018</w:t>
      </w:r>
      <w:r w:rsidR="002C61E1" w:rsidRPr="00B06DAB">
        <w:noBreakHyphen/>
      </w:r>
      <w:r w:rsidR="00B7392A">
        <w:t>2019 годах</w:t>
      </w:r>
      <w:r w:rsidRPr="00B06DAB">
        <w:t xml:space="preserve"> сохранялась стабильной. Численность безработных граждан, зарегистрированных в органах службы занятости, на 1 января 2020 г</w:t>
      </w:r>
      <w:r w:rsidR="00B7392A">
        <w:t>ода</w:t>
      </w:r>
      <w:r w:rsidRPr="00B06DAB">
        <w:t xml:space="preserve"> составила 4222 человека, уровень регистрируемой безр</w:t>
      </w:r>
      <w:r w:rsidRPr="00B06DAB">
        <w:t>а</w:t>
      </w:r>
      <w:r w:rsidRPr="00B06DAB">
        <w:t>ботицы к численности рабочей силы – 0,68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 (на 1</w:t>
      </w:r>
      <w:r w:rsidR="002C61E1" w:rsidRPr="00B06DAB">
        <w:t xml:space="preserve"> января </w:t>
      </w:r>
      <w:r w:rsidRPr="00B06DAB">
        <w:t>2019</w:t>
      </w:r>
      <w:r w:rsidR="002C61E1" w:rsidRPr="00B06DAB">
        <w:t xml:space="preserve"> г</w:t>
      </w:r>
      <w:r w:rsidR="00B7392A">
        <w:t>ода</w:t>
      </w:r>
      <w:r w:rsidRPr="00B06DAB">
        <w:t xml:space="preserve"> – 4135 чел</w:t>
      </w:r>
      <w:r w:rsidR="002C61E1" w:rsidRPr="00B06DAB">
        <w:t>о</w:t>
      </w:r>
      <w:r w:rsidR="002C61E1" w:rsidRPr="00B06DAB">
        <w:t xml:space="preserve">век, уровень регистрируемой безработицы – </w:t>
      </w:r>
      <w:r w:rsidRPr="00B06DAB">
        <w:t>0,66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t xml:space="preserve">). </w:t>
      </w:r>
    </w:p>
    <w:p w:rsidR="00D645F6" w:rsidRPr="00B06DAB" w:rsidRDefault="00D645F6" w:rsidP="002C61E1">
      <w:pPr>
        <w:shd w:val="clear" w:color="auto" w:fill="FFFFFF"/>
        <w:ind w:firstLine="709"/>
        <w:jc w:val="both"/>
        <w:rPr>
          <w:rFonts w:eastAsia="Calibri"/>
        </w:rPr>
      </w:pPr>
      <w:r w:rsidRPr="00B06DAB">
        <w:rPr>
          <w:rFonts w:eastAsia="Calibri"/>
        </w:rPr>
        <w:t>В связи со сложившейся социально-экономической ситуацией в республике, в</w:t>
      </w:r>
      <w:r w:rsidRPr="00B06DAB">
        <w:rPr>
          <w:rFonts w:eastAsia="Calibri"/>
        </w:rPr>
        <w:t>ы</w:t>
      </w:r>
      <w:r w:rsidRPr="00B06DAB">
        <w:rPr>
          <w:rFonts w:eastAsia="Calibri"/>
        </w:rPr>
        <w:t xml:space="preserve">званной введением ограничительных мер по предупреждению распространения </w:t>
      </w:r>
      <w:proofErr w:type="spellStart"/>
      <w:r w:rsidRPr="00B06DAB">
        <w:rPr>
          <w:rFonts w:eastAsia="Calibri"/>
        </w:rPr>
        <w:t>коронав</w:t>
      </w:r>
      <w:r w:rsidRPr="00B06DAB">
        <w:rPr>
          <w:rFonts w:eastAsia="Calibri"/>
        </w:rPr>
        <w:t>и</w:t>
      </w:r>
      <w:r w:rsidRPr="00B06DAB">
        <w:rPr>
          <w:rFonts w:eastAsia="Calibri"/>
        </w:rPr>
        <w:t>русной</w:t>
      </w:r>
      <w:proofErr w:type="spellEnd"/>
      <w:r w:rsidRPr="00B06DAB">
        <w:rPr>
          <w:rFonts w:eastAsia="Calibri"/>
        </w:rPr>
        <w:t xml:space="preserve"> инфекции, с апреля 2020 года регистрируется значительное увеличение количества обращений граждан в органы службы занятости населения республики. Так, с марта по май текущего года принято более 28 тыс. заявлений о предоставлении государственной услуги по содействию в поиске подходящей работы. Наблюдается рост обращений ранее не работавших, впервые ищущих работу граждан и имеющих длительный перерыв в тр</w:t>
      </w:r>
      <w:r w:rsidRPr="00B06DAB">
        <w:rPr>
          <w:rFonts w:eastAsia="Calibri"/>
        </w:rPr>
        <w:t>у</w:t>
      </w:r>
      <w:r w:rsidRPr="00B06DAB">
        <w:rPr>
          <w:rFonts w:eastAsia="Calibri"/>
        </w:rPr>
        <w:t xml:space="preserve">довом стаже. </w:t>
      </w:r>
    </w:p>
    <w:p w:rsidR="00D645F6" w:rsidRPr="00B06DAB" w:rsidRDefault="00D645F6" w:rsidP="002C61E1">
      <w:pPr>
        <w:ind w:firstLine="709"/>
        <w:jc w:val="both"/>
        <w:rPr>
          <w:rFonts w:eastAsia="Calibri"/>
        </w:rPr>
      </w:pPr>
      <w:r w:rsidRPr="00B06DAB">
        <w:rPr>
          <w:rFonts w:eastAsia="Calibri"/>
        </w:rPr>
        <w:t>В целях поддержки бизнеса и населения в период ограничительных мер Правител</w:t>
      </w:r>
      <w:r w:rsidRPr="00B06DAB">
        <w:rPr>
          <w:rFonts w:eastAsia="Calibri"/>
        </w:rPr>
        <w:t>ь</w:t>
      </w:r>
      <w:r w:rsidRPr="00B06DAB">
        <w:rPr>
          <w:rFonts w:eastAsia="Calibri"/>
        </w:rPr>
        <w:t>ством Российской Федерации приняты пакеты антикризисных мер, направленных на по</w:t>
      </w:r>
      <w:r w:rsidRPr="00B06DAB">
        <w:rPr>
          <w:rFonts w:eastAsia="Calibri"/>
        </w:rPr>
        <w:t>д</w:t>
      </w:r>
      <w:r w:rsidRPr="00B06DAB">
        <w:rPr>
          <w:rFonts w:eastAsia="Calibri"/>
        </w:rPr>
        <w:t>держание доходов населения и создание стимулов для сохранения занятости. М</w:t>
      </w:r>
      <w:r w:rsidRPr="00B06DAB">
        <w:rPr>
          <w:lang w:eastAsia="en-US"/>
        </w:rPr>
        <w:t>аксимал</w:t>
      </w:r>
      <w:r w:rsidRPr="00B06DAB">
        <w:rPr>
          <w:lang w:eastAsia="en-US"/>
        </w:rPr>
        <w:t>ь</w:t>
      </w:r>
      <w:r w:rsidRPr="00B06DAB">
        <w:rPr>
          <w:lang w:eastAsia="en-US"/>
        </w:rPr>
        <w:t>ный размер пособий по безработице увеличен в 1,5 раза – с 8 до 12,1 тыс</w:t>
      </w:r>
      <w:r w:rsidR="00B7392A">
        <w:rPr>
          <w:lang w:eastAsia="en-US"/>
        </w:rPr>
        <w:t>.</w:t>
      </w:r>
      <w:r w:rsidRPr="00B06DAB">
        <w:rPr>
          <w:lang w:eastAsia="en-US"/>
        </w:rPr>
        <w:t xml:space="preserve"> рублей. Б</w:t>
      </w:r>
      <w:r w:rsidRPr="00B06DAB">
        <w:rPr>
          <w:rFonts w:eastAsia="Calibri"/>
        </w:rPr>
        <w:t>езр</w:t>
      </w:r>
      <w:r w:rsidRPr="00B06DAB">
        <w:rPr>
          <w:rFonts w:eastAsia="Calibri"/>
        </w:rPr>
        <w:t>а</w:t>
      </w:r>
      <w:r w:rsidRPr="00B06DAB">
        <w:rPr>
          <w:rFonts w:eastAsia="Calibri"/>
        </w:rPr>
        <w:t xml:space="preserve">ботным гражданам, </w:t>
      </w:r>
      <w:r w:rsidRPr="00B06DAB">
        <w:rPr>
          <w:lang w:eastAsia="en-US"/>
        </w:rPr>
        <w:t xml:space="preserve">потерявшим работу в марте 2020 года </w:t>
      </w:r>
      <w:r w:rsidRPr="00B06DAB">
        <w:rPr>
          <w:rFonts w:eastAsia="Calibri"/>
        </w:rPr>
        <w:t>и имеющим несовершенноле</w:t>
      </w:r>
      <w:r w:rsidRPr="00B06DAB">
        <w:rPr>
          <w:rFonts w:eastAsia="Calibri"/>
        </w:rPr>
        <w:t>т</w:t>
      </w:r>
      <w:r w:rsidRPr="00B06DAB">
        <w:rPr>
          <w:rFonts w:eastAsia="Calibri"/>
        </w:rPr>
        <w:t>них детей, дополнительно выплачивается 3 тыс</w:t>
      </w:r>
      <w:r w:rsidR="00B7392A">
        <w:rPr>
          <w:rFonts w:eastAsia="Calibri"/>
        </w:rPr>
        <w:t>.</w:t>
      </w:r>
      <w:r w:rsidRPr="00B06DAB">
        <w:rPr>
          <w:rFonts w:eastAsia="Calibri"/>
        </w:rPr>
        <w:t xml:space="preserve"> рублей на каждого ребенка. </w:t>
      </w:r>
      <w:r w:rsidRPr="00B06DAB">
        <w:rPr>
          <w:lang w:eastAsia="en-US"/>
        </w:rPr>
        <w:t>Индивид</w:t>
      </w:r>
      <w:r w:rsidRPr="00B06DAB">
        <w:rPr>
          <w:lang w:eastAsia="en-US"/>
        </w:rPr>
        <w:t>у</w:t>
      </w:r>
      <w:r w:rsidRPr="00B06DAB">
        <w:rPr>
          <w:lang w:eastAsia="en-US"/>
        </w:rPr>
        <w:t>альные предприниматели, которые вынуждены были прекратить деятельность, в течение трех месяцев получают пособие по безработице в максимальном размере.</w:t>
      </w:r>
    </w:p>
    <w:p w:rsidR="00D645F6" w:rsidRPr="00B06DAB" w:rsidRDefault="00D645F6" w:rsidP="002C61E1">
      <w:pPr>
        <w:shd w:val="clear" w:color="auto" w:fill="FFFFFF"/>
        <w:ind w:firstLine="709"/>
        <w:jc w:val="both"/>
        <w:rPr>
          <w:rFonts w:eastAsia="Calibri"/>
        </w:rPr>
      </w:pPr>
      <w:r w:rsidRPr="00B06DAB">
        <w:rPr>
          <w:rFonts w:eastAsia="Calibri"/>
        </w:rPr>
        <w:t xml:space="preserve">Внедрение ограничительных мер в условиях пандемии </w:t>
      </w:r>
      <w:proofErr w:type="spellStart"/>
      <w:r w:rsidRPr="00B06DAB">
        <w:rPr>
          <w:rFonts w:eastAsia="Calibri"/>
        </w:rPr>
        <w:t>коронавирусной</w:t>
      </w:r>
      <w:proofErr w:type="spellEnd"/>
      <w:r w:rsidRPr="00B06DAB">
        <w:rPr>
          <w:rFonts w:eastAsia="Calibri"/>
        </w:rPr>
        <w:t xml:space="preserve"> инфекции, широкое использование дистанционных технологий, обеспечивающих доступность рег</w:t>
      </w:r>
      <w:r w:rsidRPr="00B06DAB">
        <w:rPr>
          <w:rFonts w:eastAsia="Calibri"/>
        </w:rPr>
        <w:t>и</w:t>
      </w:r>
      <w:r w:rsidRPr="00B06DAB">
        <w:rPr>
          <w:rFonts w:eastAsia="Calibri"/>
        </w:rPr>
        <w:t>страции безработных граждан и государственных услуг в области содействия занятости, а также дополнительные меры социальной поддержки граждан привели к существенному росту уровня безработицы. Численность безработных граждан, состоящих на учете в о</w:t>
      </w:r>
      <w:r w:rsidRPr="00B06DAB">
        <w:rPr>
          <w:rFonts w:eastAsia="Calibri"/>
        </w:rPr>
        <w:t>р</w:t>
      </w:r>
      <w:r w:rsidRPr="00B06DAB">
        <w:rPr>
          <w:rFonts w:eastAsia="Calibri"/>
        </w:rPr>
        <w:t>ганах службы занятости республики, с начала текущего года увеличилась в 5,42 раза и по состоянию на 1 июня 2020 г</w:t>
      </w:r>
      <w:r w:rsidR="00B7392A">
        <w:rPr>
          <w:rFonts w:eastAsia="Calibri"/>
        </w:rPr>
        <w:t>ода</w:t>
      </w:r>
      <w:r w:rsidRPr="00B06DAB">
        <w:rPr>
          <w:rFonts w:eastAsia="Calibri"/>
        </w:rPr>
        <w:t xml:space="preserve"> составила 22,9 тыс. человек, уровень регистрируемой бе</w:t>
      </w:r>
      <w:r w:rsidRPr="00B06DAB">
        <w:rPr>
          <w:rFonts w:eastAsia="Calibri"/>
        </w:rPr>
        <w:t>з</w:t>
      </w:r>
      <w:r w:rsidRPr="00B06DAB">
        <w:rPr>
          <w:rFonts w:eastAsia="Calibri"/>
        </w:rPr>
        <w:t>работицы к численности рабочей силы – 3,8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rPr>
          <w:rFonts w:eastAsia="Calibri"/>
        </w:rPr>
        <w:t>. Сложившаяся ситуация на реги</w:t>
      </w:r>
      <w:r w:rsidRPr="00B06DAB">
        <w:rPr>
          <w:rFonts w:eastAsia="Calibri"/>
        </w:rPr>
        <w:t>о</w:t>
      </w:r>
      <w:r w:rsidRPr="00B06DAB">
        <w:rPr>
          <w:rFonts w:eastAsia="Calibri"/>
        </w:rPr>
        <w:t>нальном рынке труда соответствует общероссийским тенденциям.</w:t>
      </w:r>
    </w:p>
    <w:p w:rsidR="00D645F6" w:rsidRPr="00B06DAB" w:rsidRDefault="00D645F6" w:rsidP="002C61E1">
      <w:pPr>
        <w:shd w:val="clear" w:color="auto" w:fill="FFFFFF"/>
        <w:ind w:firstLine="709"/>
        <w:jc w:val="both"/>
        <w:rPr>
          <w:rFonts w:eastAsia="Calibri"/>
        </w:rPr>
      </w:pPr>
      <w:proofErr w:type="gramStart"/>
      <w:r w:rsidRPr="00B06DAB">
        <w:t xml:space="preserve">В условиях непростой социально-экономической ситуации, вызванной введением ограничительных мер по предупреждению распространения </w:t>
      </w:r>
      <w:proofErr w:type="spellStart"/>
      <w:r w:rsidRPr="00B06DAB">
        <w:rPr>
          <w:color w:val="000000"/>
        </w:rPr>
        <w:t>коронавирусной</w:t>
      </w:r>
      <w:proofErr w:type="spellEnd"/>
      <w:r w:rsidRPr="00B06DAB">
        <w:rPr>
          <w:color w:val="000000"/>
        </w:rPr>
        <w:t xml:space="preserve"> инфекции, </w:t>
      </w:r>
      <w:r w:rsidRPr="00B06DAB">
        <w:rPr>
          <w:rFonts w:eastAsia="Calibri"/>
        </w:rPr>
        <w:t xml:space="preserve">при базовом сценарии развития экономики ожидается </w:t>
      </w:r>
      <w:r w:rsidRPr="00B06DAB">
        <w:rPr>
          <w:color w:val="000000"/>
        </w:rPr>
        <w:t xml:space="preserve">рост </w:t>
      </w:r>
      <w:r w:rsidRPr="00B06DAB">
        <w:rPr>
          <w:rFonts w:eastAsia="Calibri"/>
        </w:rPr>
        <w:t>численности зарегистрирова</w:t>
      </w:r>
      <w:r w:rsidRPr="00B06DAB">
        <w:rPr>
          <w:rFonts w:eastAsia="Calibri"/>
        </w:rPr>
        <w:t>н</w:t>
      </w:r>
      <w:r w:rsidRPr="00B06DAB">
        <w:rPr>
          <w:rFonts w:eastAsia="Calibri"/>
        </w:rPr>
        <w:t>ных безработных граждан с 4,2 тыс. человек в 2019 году до 21,2 тыс. человек на конец 2020 года.</w:t>
      </w:r>
      <w:proofErr w:type="gramEnd"/>
      <w:r w:rsidRPr="00B06DAB">
        <w:rPr>
          <w:rFonts w:eastAsia="Calibri"/>
        </w:rPr>
        <w:t xml:space="preserve"> Уровень общей безработицы (по методологии Международной организации труда) увеличится с 4,7 до 5,8</w:t>
      </w:r>
      <w:r w:rsidR="004F07F1" w:rsidRPr="004F07F1">
        <w:rPr>
          <w:bCs/>
        </w:rPr>
        <w:t xml:space="preserve"> </w:t>
      </w:r>
      <w:r w:rsidR="004F07F1" w:rsidRPr="00B06DAB">
        <w:rPr>
          <w:bCs/>
        </w:rPr>
        <w:t>процента</w:t>
      </w:r>
      <w:r w:rsidRPr="00B06DAB">
        <w:rPr>
          <w:rFonts w:eastAsia="Calibri"/>
        </w:rPr>
        <w:t xml:space="preserve"> соответственно.</w:t>
      </w:r>
    </w:p>
    <w:p w:rsidR="00D645F6" w:rsidRPr="00D645F6" w:rsidRDefault="00D645F6" w:rsidP="002C61E1">
      <w:pPr>
        <w:shd w:val="clear" w:color="auto" w:fill="FFFFFF"/>
        <w:ind w:firstLine="709"/>
        <w:jc w:val="both"/>
        <w:rPr>
          <w:rFonts w:eastAsia="Calibri"/>
        </w:rPr>
      </w:pPr>
      <w:r w:rsidRPr="00B06DAB">
        <w:t>Одним из факторов, определяющим развитие регионального рынка труда в средн</w:t>
      </w:r>
      <w:r w:rsidRPr="00B06DAB">
        <w:t>е</w:t>
      </w:r>
      <w:r w:rsidRPr="00B06DAB">
        <w:t>срочной перспективе, являются нарастающие демографические ограничения, обусловле</w:t>
      </w:r>
      <w:r w:rsidRPr="00B06DAB">
        <w:t>н</w:t>
      </w:r>
      <w:r w:rsidRPr="00B06DAB">
        <w:t>ные сокращением численности населения трудоспособного возраста и снижению числе</w:t>
      </w:r>
      <w:r w:rsidRPr="00B06DAB">
        <w:t>н</w:t>
      </w:r>
      <w:r w:rsidRPr="00B06DAB">
        <w:t xml:space="preserve">ности рабочей силы. </w:t>
      </w:r>
      <w:r w:rsidRPr="00B06DAB">
        <w:rPr>
          <w:spacing w:val="2"/>
          <w:shd w:val="clear" w:color="auto" w:fill="FFFFFF"/>
        </w:rPr>
        <w:t>В этих условиях для поддержания устойчивого экономического ра</w:t>
      </w:r>
      <w:r w:rsidRPr="00B06DAB">
        <w:rPr>
          <w:spacing w:val="2"/>
          <w:shd w:val="clear" w:color="auto" w:fill="FFFFFF"/>
        </w:rPr>
        <w:t>з</w:t>
      </w:r>
      <w:r w:rsidRPr="00B06DAB">
        <w:rPr>
          <w:spacing w:val="2"/>
          <w:shd w:val="clear" w:color="auto" w:fill="FFFFFF"/>
        </w:rPr>
        <w:t>вития</w:t>
      </w:r>
      <w:r w:rsidRPr="00D645F6">
        <w:rPr>
          <w:spacing w:val="2"/>
          <w:shd w:val="clear" w:color="auto" w:fill="FFFFFF"/>
        </w:rPr>
        <w:t xml:space="preserve"> региона и повышения благосостояния граждан важнейшей задачей становится п</w:t>
      </w:r>
      <w:r w:rsidRPr="00D645F6">
        <w:rPr>
          <w:spacing w:val="2"/>
          <w:shd w:val="clear" w:color="auto" w:fill="FFFFFF"/>
        </w:rPr>
        <w:t>о</w:t>
      </w:r>
      <w:r w:rsidRPr="00D645F6">
        <w:rPr>
          <w:spacing w:val="2"/>
          <w:shd w:val="clear" w:color="auto" w:fill="FFFFFF"/>
        </w:rPr>
        <w:t>вышение эффективности использования трудовых ресурсов.</w:t>
      </w:r>
    </w:p>
    <w:p w:rsidR="00D645F6" w:rsidRPr="00D645F6" w:rsidRDefault="00D645F6" w:rsidP="002C61E1">
      <w:pPr>
        <w:shd w:val="clear" w:color="auto" w:fill="FFFFFF"/>
        <w:ind w:firstLine="709"/>
        <w:jc w:val="both"/>
        <w:rPr>
          <w:rFonts w:eastAsia="Calibri"/>
        </w:rPr>
      </w:pPr>
      <w:proofErr w:type="gramStart"/>
      <w:r w:rsidRPr="00D645F6">
        <w:rPr>
          <w:rFonts w:eastAsia="Calibri"/>
        </w:rPr>
        <w:t>Основные усилия должны быть направлены на повышение производительности труда, создание новых рабочих мест и условий для обеспечения высококвалифицирова</w:t>
      </w:r>
      <w:r w:rsidRPr="00D645F6">
        <w:rPr>
          <w:rFonts w:eastAsia="Calibri"/>
        </w:rPr>
        <w:t>н</w:t>
      </w:r>
      <w:r w:rsidRPr="00D645F6">
        <w:rPr>
          <w:rFonts w:eastAsia="Calibri"/>
        </w:rPr>
        <w:t>ными кадрами, предоставление дополнительных мер государственной поддержки субъе</w:t>
      </w:r>
      <w:r w:rsidRPr="00D645F6">
        <w:rPr>
          <w:rFonts w:eastAsia="Calibri"/>
        </w:rPr>
        <w:t>к</w:t>
      </w:r>
      <w:r w:rsidRPr="00D645F6">
        <w:rPr>
          <w:rFonts w:eastAsia="Calibri"/>
        </w:rPr>
        <w:t>тов малого и среднего предпринимательства, а также повышение профессионально-квалификационного уровня рабочих кадров, в том числе путем организации професси</w:t>
      </w:r>
      <w:r w:rsidRPr="00D645F6">
        <w:rPr>
          <w:rFonts w:eastAsia="Calibri"/>
        </w:rPr>
        <w:t>о</w:t>
      </w:r>
      <w:r w:rsidRPr="00D645F6">
        <w:rPr>
          <w:rFonts w:eastAsia="Calibri"/>
        </w:rPr>
        <w:t xml:space="preserve">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труда. </w:t>
      </w:r>
      <w:proofErr w:type="gramEnd"/>
    </w:p>
    <w:p w:rsidR="00D645F6" w:rsidRPr="00D645F6" w:rsidRDefault="00D645F6" w:rsidP="002C61E1">
      <w:pPr>
        <w:autoSpaceDE w:val="0"/>
        <w:autoSpaceDN w:val="0"/>
        <w:adjustRightInd w:val="0"/>
        <w:ind w:firstLine="709"/>
        <w:jc w:val="both"/>
      </w:pPr>
      <w:r w:rsidRPr="00D645F6">
        <w:t>Сохранению устойчивого развития экономики и социальной стабильности в ре</w:t>
      </w:r>
      <w:r w:rsidRPr="00D645F6">
        <w:t>с</w:t>
      </w:r>
      <w:r w:rsidRPr="00D645F6">
        <w:t>публике способствует реализация мероприятий национального проекта «Демография», включающих профессиональное обучение и дополнительное профессиональное образов</w:t>
      </w:r>
      <w:r w:rsidRPr="00D645F6">
        <w:t>а</w:t>
      </w:r>
      <w:r w:rsidRPr="00D645F6">
        <w:t>ние безработных граждан старшего возраста, а также женщин, воспитывающих детей д</w:t>
      </w:r>
      <w:r w:rsidRPr="00D645F6">
        <w:t>о</w:t>
      </w:r>
      <w:r w:rsidRPr="00D645F6">
        <w:t>школьного возраста. Профессиональное обучение дает возможность получения професс</w:t>
      </w:r>
      <w:r w:rsidRPr="00D645F6">
        <w:t>и</w:t>
      </w:r>
      <w:r w:rsidRPr="00D645F6">
        <w:t>ональных знаний и умений, необходимых для возобновления или начала трудовой де</w:t>
      </w:r>
      <w:r w:rsidRPr="00D645F6">
        <w:t>я</w:t>
      </w:r>
      <w:r w:rsidRPr="00D645F6">
        <w:t>тельности.</w:t>
      </w:r>
    </w:p>
    <w:p w:rsidR="00D645F6" w:rsidRPr="00D645F6" w:rsidRDefault="00D645F6" w:rsidP="002C61E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645F6">
        <w:t>С 2020 года в республике внедрена практика оказания государственной социальной помощи малоимущим гражданам на основании социального контракта, предусматрива</w:t>
      </w:r>
      <w:r w:rsidRPr="00D645F6">
        <w:t>ю</w:t>
      </w:r>
      <w:r w:rsidRPr="00D645F6">
        <w:t xml:space="preserve">щего </w:t>
      </w:r>
      <w:r w:rsidRPr="00D645F6">
        <w:rPr>
          <w:shd w:val="clear" w:color="auto" w:fill="FFFFFF"/>
        </w:rPr>
        <w:t>помощь при трудоустройстве, профессиональном обучении и получении дополн</w:t>
      </w:r>
      <w:r w:rsidRPr="00D645F6">
        <w:rPr>
          <w:shd w:val="clear" w:color="auto" w:fill="FFFFFF"/>
        </w:rPr>
        <w:t>и</w:t>
      </w:r>
      <w:r w:rsidRPr="00D645F6">
        <w:rPr>
          <w:shd w:val="clear" w:color="auto" w:fill="FFFFFF"/>
        </w:rPr>
        <w:t>тельного профессионального образования, организации предпринимательской деятельн</w:t>
      </w:r>
      <w:r w:rsidRPr="00D645F6">
        <w:rPr>
          <w:shd w:val="clear" w:color="auto" w:fill="FFFFFF"/>
        </w:rPr>
        <w:t>о</w:t>
      </w:r>
      <w:r w:rsidRPr="00D645F6">
        <w:rPr>
          <w:shd w:val="clear" w:color="auto" w:fill="FFFFFF"/>
        </w:rPr>
        <w:t xml:space="preserve">сти, а также прямую финансовую поддержку нуждающимся семьям. </w:t>
      </w:r>
    </w:p>
    <w:p w:rsidR="00D645F6" w:rsidRDefault="00D645F6" w:rsidP="002C61E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645F6">
        <w:rPr>
          <w:shd w:val="clear" w:color="auto" w:fill="FFFFFF"/>
        </w:rPr>
        <w:t>В целях снижения рисков увольнения работников и роста безработицы</w:t>
      </w:r>
      <w:r w:rsidR="00C11A0D">
        <w:rPr>
          <w:shd w:val="clear" w:color="auto" w:fill="FFFFFF"/>
        </w:rPr>
        <w:t xml:space="preserve"> </w:t>
      </w:r>
      <w:r w:rsidRPr="00D645F6">
        <w:rPr>
          <w:shd w:val="clear" w:color="auto" w:fill="FFFFFF"/>
        </w:rPr>
        <w:t xml:space="preserve">в связи с введением ограничительных мероприятий по снижению распространения </w:t>
      </w:r>
      <w:proofErr w:type="spellStart"/>
      <w:r w:rsidRPr="00D645F6">
        <w:rPr>
          <w:shd w:val="clear" w:color="auto" w:fill="FFFFFF"/>
        </w:rPr>
        <w:t>коронавирусной</w:t>
      </w:r>
      <w:proofErr w:type="spellEnd"/>
      <w:r w:rsidRPr="00D645F6">
        <w:rPr>
          <w:shd w:val="clear" w:color="auto" w:fill="FFFFFF"/>
        </w:rPr>
        <w:t xml:space="preserve"> инфекции планируется проведение дополнительных мероприятий по снижению напр</w:t>
      </w:r>
      <w:r w:rsidRPr="00D645F6">
        <w:rPr>
          <w:shd w:val="clear" w:color="auto" w:fill="FFFFFF"/>
        </w:rPr>
        <w:t>я</w:t>
      </w:r>
      <w:r w:rsidRPr="00D645F6">
        <w:rPr>
          <w:shd w:val="clear" w:color="auto" w:fill="FFFFFF"/>
        </w:rPr>
        <w:t>женности на рынке труда, включающих временное трудоустройство работников, наход</w:t>
      </w:r>
      <w:r w:rsidRPr="00D645F6">
        <w:rPr>
          <w:shd w:val="clear" w:color="auto" w:fill="FFFFFF"/>
        </w:rPr>
        <w:t>я</w:t>
      </w:r>
      <w:r w:rsidRPr="00D645F6">
        <w:rPr>
          <w:shd w:val="clear" w:color="auto" w:fill="FFFFFF"/>
        </w:rPr>
        <w:t xml:space="preserve">щихся под риском увольнения, а также организацию общественных работ безработных и ищущих работу граждан. </w:t>
      </w:r>
    </w:p>
    <w:p w:rsidR="002B1E49" w:rsidRDefault="002B1E49" w:rsidP="002C61E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:rsidR="0093624D" w:rsidRPr="002C61E1" w:rsidRDefault="0093624D" w:rsidP="0093624D">
      <w:pPr>
        <w:jc w:val="center"/>
        <w:textAlignment w:val="baseline"/>
        <w:rPr>
          <w:b/>
        </w:rPr>
      </w:pPr>
      <w:r w:rsidRPr="002C61E1">
        <w:rPr>
          <w:b/>
        </w:rPr>
        <w:t>Уровень общей безработицы (по методологии МОТ)</w:t>
      </w:r>
    </w:p>
    <w:p w:rsidR="0093624D" w:rsidRPr="002C61E1" w:rsidRDefault="0093624D" w:rsidP="0093624D">
      <w:pPr>
        <w:jc w:val="center"/>
        <w:textAlignment w:val="baseline"/>
        <w:rPr>
          <w:b/>
        </w:rPr>
      </w:pPr>
      <w:r w:rsidRPr="002C61E1">
        <w:rPr>
          <w:b/>
        </w:rPr>
        <w:t xml:space="preserve">по отношению к численности рабочей силы, % </w:t>
      </w:r>
    </w:p>
    <w:p w:rsidR="0093624D" w:rsidRPr="00422F38" w:rsidRDefault="0093624D" w:rsidP="002C61E1">
      <w:pPr>
        <w:jc w:val="center"/>
        <w:rPr>
          <w:highlight w:val="yellow"/>
        </w:rPr>
      </w:pPr>
      <w:r w:rsidRPr="00422F38">
        <w:rPr>
          <w:noProof/>
          <w:color w:val="C00000"/>
          <w:highlight w:val="yellow"/>
        </w:rPr>
        <w:drawing>
          <wp:inline distT="0" distB="0" distL="0" distR="0" wp14:anchorId="2D780C14" wp14:editId="717432A1">
            <wp:extent cx="5720316" cy="2307266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C61E1" w:rsidRPr="00D645F6" w:rsidRDefault="002C61E1" w:rsidP="002C61E1">
      <w:pPr>
        <w:ind w:firstLine="709"/>
        <w:jc w:val="both"/>
        <w:textAlignment w:val="baseline"/>
        <w:rPr>
          <w:rFonts w:eastAsia="Calibri"/>
        </w:rPr>
      </w:pPr>
      <w:r w:rsidRPr="00D645F6">
        <w:rPr>
          <w:rFonts w:eastAsia="Calibri"/>
        </w:rPr>
        <w:t xml:space="preserve">Проводимый комплекс мероприятий позволит в среднесрочной перспективе при базовом варианте прогноза стабилизировать уровень безработицы до 4,7 </w:t>
      </w:r>
      <w:r w:rsidR="004F07F1" w:rsidRPr="00B06DAB">
        <w:rPr>
          <w:bCs/>
        </w:rPr>
        <w:t>процента</w:t>
      </w:r>
      <w:r w:rsidRPr="00D645F6">
        <w:rPr>
          <w:rFonts w:eastAsia="Calibri"/>
        </w:rPr>
        <w:t xml:space="preserve"> и сн</w:t>
      </w:r>
      <w:r w:rsidRPr="00D645F6">
        <w:rPr>
          <w:rFonts w:eastAsia="Calibri"/>
        </w:rPr>
        <w:t>и</w:t>
      </w:r>
      <w:r w:rsidRPr="00D645F6">
        <w:rPr>
          <w:rFonts w:eastAsia="Calibri"/>
        </w:rPr>
        <w:t xml:space="preserve">зить численность безработных граждан, зарегистрированных в органах службы занятости, с 21,2 тыс. человек в 2020 году </w:t>
      </w:r>
      <w:r w:rsidRPr="00B2367E">
        <w:rPr>
          <w:rFonts w:eastAsia="Calibri"/>
          <w:shd w:val="clear" w:color="auto" w:fill="FFFFFF" w:themeFill="background1"/>
        </w:rPr>
        <w:t>до 1</w:t>
      </w:r>
      <w:r w:rsidR="00B2367E" w:rsidRPr="00B2367E">
        <w:rPr>
          <w:rFonts w:eastAsia="Calibri"/>
          <w:shd w:val="clear" w:color="auto" w:fill="FFFFFF" w:themeFill="background1"/>
        </w:rPr>
        <w:t>2,7</w:t>
      </w:r>
      <w:r w:rsidRPr="00D645F6">
        <w:rPr>
          <w:rFonts w:eastAsia="Calibri"/>
        </w:rPr>
        <w:t xml:space="preserve"> тыс. человек к концу 2023 года.</w:t>
      </w:r>
    </w:p>
    <w:p w:rsidR="0093624D" w:rsidRPr="00422F38" w:rsidRDefault="0093624D" w:rsidP="0093624D">
      <w:pPr>
        <w:ind w:firstLine="709"/>
        <w:jc w:val="both"/>
        <w:rPr>
          <w:bCs/>
          <w:highlight w:val="yellow"/>
        </w:rPr>
      </w:pPr>
    </w:p>
    <w:p w:rsidR="008B6EBA" w:rsidRPr="00E168A8" w:rsidRDefault="008B6EBA" w:rsidP="0093624D">
      <w:pPr>
        <w:jc w:val="center"/>
        <w:rPr>
          <w:b/>
        </w:rPr>
      </w:pPr>
    </w:p>
    <w:sectPr w:rsidR="008B6EBA" w:rsidRPr="00E168A8" w:rsidSect="008268ED">
      <w:headerReference w:type="even" r:id="rId23"/>
      <w:headerReference w:type="default" r:id="rId24"/>
      <w:headerReference w:type="first" r:id="rId25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94" w:rsidRDefault="001B7094">
      <w:r>
        <w:separator/>
      </w:r>
    </w:p>
  </w:endnote>
  <w:endnote w:type="continuationSeparator" w:id="0">
    <w:p w:rsidR="001B7094" w:rsidRDefault="001B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94" w:rsidRDefault="001B7094">
      <w:r>
        <w:separator/>
      </w:r>
    </w:p>
  </w:footnote>
  <w:footnote w:type="continuationSeparator" w:id="0">
    <w:p w:rsidR="001B7094" w:rsidRDefault="001B7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7E" w:rsidRDefault="00B2367E" w:rsidP="00AA09E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367E" w:rsidRDefault="00B236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7E" w:rsidRPr="004B3E87" w:rsidRDefault="00B2367E" w:rsidP="00AA09E0">
    <w:pPr>
      <w:pStyle w:val="a5"/>
      <w:framePr w:wrap="around" w:vAnchor="text" w:hAnchor="margin" w:xAlign="center" w:y="1"/>
      <w:rPr>
        <w:rStyle w:val="aa"/>
        <w:sz w:val="22"/>
      </w:rPr>
    </w:pPr>
    <w:r w:rsidRPr="004B3E87">
      <w:rPr>
        <w:rStyle w:val="aa"/>
        <w:sz w:val="22"/>
      </w:rPr>
      <w:fldChar w:fldCharType="begin"/>
    </w:r>
    <w:r w:rsidRPr="004B3E87">
      <w:rPr>
        <w:rStyle w:val="aa"/>
        <w:sz w:val="22"/>
      </w:rPr>
      <w:instrText xml:space="preserve">PAGE  </w:instrText>
    </w:r>
    <w:r w:rsidRPr="004B3E87">
      <w:rPr>
        <w:rStyle w:val="aa"/>
        <w:sz w:val="22"/>
      </w:rPr>
      <w:fldChar w:fldCharType="separate"/>
    </w:r>
    <w:r w:rsidR="00C0355A">
      <w:rPr>
        <w:rStyle w:val="aa"/>
        <w:noProof/>
        <w:sz w:val="22"/>
      </w:rPr>
      <w:t>2</w:t>
    </w:r>
    <w:r w:rsidRPr="004B3E87">
      <w:rPr>
        <w:rStyle w:val="aa"/>
        <w:sz w:val="22"/>
      </w:rPr>
      <w:fldChar w:fldCharType="end"/>
    </w:r>
  </w:p>
  <w:p w:rsidR="00B2367E" w:rsidRDefault="00B23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7E" w:rsidRDefault="00B2367E" w:rsidP="003105D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3D"/>
    <w:multiLevelType w:val="hybridMultilevel"/>
    <w:tmpl w:val="70DE722E"/>
    <w:lvl w:ilvl="0" w:tplc="25EE6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23E36"/>
    <w:multiLevelType w:val="hybridMultilevel"/>
    <w:tmpl w:val="2FC88744"/>
    <w:lvl w:ilvl="0" w:tplc="067617D2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E7C498D"/>
    <w:multiLevelType w:val="hybridMultilevel"/>
    <w:tmpl w:val="3404F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1170EA"/>
    <w:multiLevelType w:val="hybridMultilevel"/>
    <w:tmpl w:val="1452E052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5">
    <w:nsid w:val="5DF718DF"/>
    <w:multiLevelType w:val="hybridMultilevel"/>
    <w:tmpl w:val="DC4A8CF6"/>
    <w:lvl w:ilvl="0" w:tplc="D1D688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09229F"/>
    <w:multiLevelType w:val="hybridMultilevel"/>
    <w:tmpl w:val="ABA434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70D312D"/>
    <w:multiLevelType w:val="hybridMultilevel"/>
    <w:tmpl w:val="06B4A7E4"/>
    <w:lvl w:ilvl="0" w:tplc="7492A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B017D"/>
    <w:multiLevelType w:val="hybridMultilevel"/>
    <w:tmpl w:val="4A7AC2C2"/>
    <w:lvl w:ilvl="0" w:tplc="B3624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805A03"/>
    <w:multiLevelType w:val="hybridMultilevel"/>
    <w:tmpl w:val="FB3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98"/>
    <w:rsid w:val="000027B8"/>
    <w:rsid w:val="00003398"/>
    <w:rsid w:val="0000400F"/>
    <w:rsid w:val="000077DF"/>
    <w:rsid w:val="00011C9A"/>
    <w:rsid w:val="00012421"/>
    <w:rsid w:val="00012CB5"/>
    <w:rsid w:val="000131B0"/>
    <w:rsid w:val="000149F2"/>
    <w:rsid w:val="00015CB8"/>
    <w:rsid w:val="0001608A"/>
    <w:rsid w:val="00017118"/>
    <w:rsid w:val="000176E0"/>
    <w:rsid w:val="00017D79"/>
    <w:rsid w:val="00022650"/>
    <w:rsid w:val="00023847"/>
    <w:rsid w:val="00023B04"/>
    <w:rsid w:val="00026A9A"/>
    <w:rsid w:val="00026FF4"/>
    <w:rsid w:val="0002764B"/>
    <w:rsid w:val="000276BB"/>
    <w:rsid w:val="00030331"/>
    <w:rsid w:val="0003585D"/>
    <w:rsid w:val="00035E34"/>
    <w:rsid w:val="00035F78"/>
    <w:rsid w:val="000410B9"/>
    <w:rsid w:val="0004212F"/>
    <w:rsid w:val="0004245C"/>
    <w:rsid w:val="00042A50"/>
    <w:rsid w:val="0004394A"/>
    <w:rsid w:val="00044812"/>
    <w:rsid w:val="00046EE1"/>
    <w:rsid w:val="0005060C"/>
    <w:rsid w:val="000521B6"/>
    <w:rsid w:val="000530BB"/>
    <w:rsid w:val="0005381C"/>
    <w:rsid w:val="00053AF2"/>
    <w:rsid w:val="0005418F"/>
    <w:rsid w:val="0005487C"/>
    <w:rsid w:val="0005574E"/>
    <w:rsid w:val="00056424"/>
    <w:rsid w:val="000564F8"/>
    <w:rsid w:val="00056884"/>
    <w:rsid w:val="00060DF2"/>
    <w:rsid w:val="0006156C"/>
    <w:rsid w:val="00062D35"/>
    <w:rsid w:val="00063181"/>
    <w:rsid w:val="00064A11"/>
    <w:rsid w:val="000656E0"/>
    <w:rsid w:val="000665EC"/>
    <w:rsid w:val="00067272"/>
    <w:rsid w:val="000712B1"/>
    <w:rsid w:val="0007211B"/>
    <w:rsid w:val="0007236F"/>
    <w:rsid w:val="000736ED"/>
    <w:rsid w:val="00074FD9"/>
    <w:rsid w:val="00075138"/>
    <w:rsid w:val="000756BA"/>
    <w:rsid w:val="00076F90"/>
    <w:rsid w:val="00077ABF"/>
    <w:rsid w:val="00077C4D"/>
    <w:rsid w:val="0008161F"/>
    <w:rsid w:val="000822AC"/>
    <w:rsid w:val="00083339"/>
    <w:rsid w:val="00084780"/>
    <w:rsid w:val="00084B07"/>
    <w:rsid w:val="00084C0B"/>
    <w:rsid w:val="00084CF4"/>
    <w:rsid w:val="000876E1"/>
    <w:rsid w:val="0009023C"/>
    <w:rsid w:val="000904DD"/>
    <w:rsid w:val="000905F3"/>
    <w:rsid w:val="00091321"/>
    <w:rsid w:val="0009154C"/>
    <w:rsid w:val="000932CD"/>
    <w:rsid w:val="00095DFE"/>
    <w:rsid w:val="000A1F73"/>
    <w:rsid w:val="000A2253"/>
    <w:rsid w:val="000A5E92"/>
    <w:rsid w:val="000A6BDA"/>
    <w:rsid w:val="000A6FD1"/>
    <w:rsid w:val="000A7346"/>
    <w:rsid w:val="000B10A0"/>
    <w:rsid w:val="000B1A69"/>
    <w:rsid w:val="000B1BCD"/>
    <w:rsid w:val="000B2AD4"/>
    <w:rsid w:val="000B3154"/>
    <w:rsid w:val="000B38C8"/>
    <w:rsid w:val="000B4603"/>
    <w:rsid w:val="000B46CF"/>
    <w:rsid w:val="000B4DE8"/>
    <w:rsid w:val="000B4DE9"/>
    <w:rsid w:val="000B57F2"/>
    <w:rsid w:val="000B58F1"/>
    <w:rsid w:val="000B6752"/>
    <w:rsid w:val="000B6B2E"/>
    <w:rsid w:val="000C09C1"/>
    <w:rsid w:val="000C1667"/>
    <w:rsid w:val="000C2E24"/>
    <w:rsid w:val="000C3B2D"/>
    <w:rsid w:val="000C415E"/>
    <w:rsid w:val="000C447F"/>
    <w:rsid w:val="000C454F"/>
    <w:rsid w:val="000C47D1"/>
    <w:rsid w:val="000C5053"/>
    <w:rsid w:val="000C60B1"/>
    <w:rsid w:val="000C7DD7"/>
    <w:rsid w:val="000D00A4"/>
    <w:rsid w:val="000D05B5"/>
    <w:rsid w:val="000D0F9D"/>
    <w:rsid w:val="000D10A6"/>
    <w:rsid w:val="000D11E4"/>
    <w:rsid w:val="000D1985"/>
    <w:rsid w:val="000D1D64"/>
    <w:rsid w:val="000D1EFB"/>
    <w:rsid w:val="000D5FCA"/>
    <w:rsid w:val="000D78E7"/>
    <w:rsid w:val="000E01C5"/>
    <w:rsid w:val="000E0709"/>
    <w:rsid w:val="000E0DC4"/>
    <w:rsid w:val="000E1EE0"/>
    <w:rsid w:val="000E2FB8"/>
    <w:rsid w:val="000E58E5"/>
    <w:rsid w:val="000E5DB2"/>
    <w:rsid w:val="000E5F9B"/>
    <w:rsid w:val="000E629D"/>
    <w:rsid w:val="000E6D26"/>
    <w:rsid w:val="000F321C"/>
    <w:rsid w:val="000F365D"/>
    <w:rsid w:val="000F404F"/>
    <w:rsid w:val="000F5619"/>
    <w:rsid w:val="000F570F"/>
    <w:rsid w:val="000F59E7"/>
    <w:rsid w:val="000F5B43"/>
    <w:rsid w:val="000F65E4"/>
    <w:rsid w:val="000F6733"/>
    <w:rsid w:val="000F6903"/>
    <w:rsid w:val="000F6C34"/>
    <w:rsid w:val="000F7919"/>
    <w:rsid w:val="000F7E85"/>
    <w:rsid w:val="0010070A"/>
    <w:rsid w:val="001012E6"/>
    <w:rsid w:val="00101A11"/>
    <w:rsid w:val="00102110"/>
    <w:rsid w:val="001024ED"/>
    <w:rsid w:val="00102CC8"/>
    <w:rsid w:val="0010339B"/>
    <w:rsid w:val="0010397E"/>
    <w:rsid w:val="00106458"/>
    <w:rsid w:val="0010776F"/>
    <w:rsid w:val="0011128C"/>
    <w:rsid w:val="001117E1"/>
    <w:rsid w:val="00111A72"/>
    <w:rsid w:val="00111BB7"/>
    <w:rsid w:val="00112A3E"/>
    <w:rsid w:val="00112D5B"/>
    <w:rsid w:val="00112DDD"/>
    <w:rsid w:val="001146AD"/>
    <w:rsid w:val="001176CB"/>
    <w:rsid w:val="001176EC"/>
    <w:rsid w:val="0011790F"/>
    <w:rsid w:val="00121871"/>
    <w:rsid w:val="00125829"/>
    <w:rsid w:val="00130320"/>
    <w:rsid w:val="00131A29"/>
    <w:rsid w:val="00131FFD"/>
    <w:rsid w:val="00135749"/>
    <w:rsid w:val="0013692E"/>
    <w:rsid w:val="0013761E"/>
    <w:rsid w:val="00143022"/>
    <w:rsid w:val="001432E4"/>
    <w:rsid w:val="00143AB0"/>
    <w:rsid w:val="001447C8"/>
    <w:rsid w:val="00145B61"/>
    <w:rsid w:val="001465F6"/>
    <w:rsid w:val="0015136D"/>
    <w:rsid w:val="00151A19"/>
    <w:rsid w:val="00151B6D"/>
    <w:rsid w:val="00152838"/>
    <w:rsid w:val="00152B5E"/>
    <w:rsid w:val="001533D2"/>
    <w:rsid w:val="001551D9"/>
    <w:rsid w:val="00156524"/>
    <w:rsid w:val="00156BC1"/>
    <w:rsid w:val="00157B93"/>
    <w:rsid w:val="00161C4C"/>
    <w:rsid w:val="00162E7C"/>
    <w:rsid w:val="00162EC7"/>
    <w:rsid w:val="001632CC"/>
    <w:rsid w:val="00164B60"/>
    <w:rsid w:val="001650DC"/>
    <w:rsid w:val="00165627"/>
    <w:rsid w:val="00165DA2"/>
    <w:rsid w:val="001663F4"/>
    <w:rsid w:val="00166BE9"/>
    <w:rsid w:val="001671AD"/>
    <w:rsid w:val="0016733A"/>
    <w:rsid w:val="00167EE2"/>
    <w:rsid w:val="00172244"/>
    <w:rsid w:val="0017283D"/>
    <w:rsid w:val="00172999"/>
    <w:rsid w:val="001742E9"/>
    <w:rsid w:val="0017452A"/>
    <w:rsid w:val="001763CD"/>
    <w:rsid w:val="00177F0E"/>
    <w:rsid w:val="00180EC6"/>
    <w:rsid w:val="00181463"/>
    <w:rsid w:val="00181B04"/>
    <w:rsid w:val="00181CE7"/>
    <w:rsid w:val="00182355"/>
    <w:rsid w:val="0018358B"/>
    <w:rsid w:val="00183784"/>
    <w:rsid w:val="00185FC6"/>
    <w:rsid w:val="001864DF"/>
    <w:rsid w:val="001865FA"/>
    <w:rsid w:val="00190C12"/>
    <w:rsid w:val="00190E44"/>
    <w:rsid w:val="00191AA1"/>
    <w:rsid w:val="00191E17"/>
    <w:rsid w:val="0019207F"/>
    <w:rsid w:val="00193863"/>
    <w:rsid w:val="001941D3"/>
    <w:rsid w:val="0019735B"/>
    <w:rsid w:val="001A0261"/>
    <w:rsid w:val="001A1CA8"/>
    <w:rsid w:val="001A227D"/>
    <w:rsid w:val="001A2601"/>
    <w:rsid w:val="001A28F7"/>
    <w:rsid w:val="001A2927"/>
    <w:rsid w:val="001A29DC"/>
    <w:rsid w:val="001A2DBE"/>
    <w:rsid w:val="001A3170"/>
    <w:rsid w:val="001A675C"/>
    <w:rsid w:val="001A6BF5"/>
    <w:rsid w:val="001A6FF0"/>
    <w:rsid w:val="001B1877"/>
    <w:rsid w:val="001B1952"/>
    <w:rsid w:val="001B1C3D"/>
    <w:rsid w:val="001B3C6E"/>
    <w:rsid w:val="001B53B5"/>
    <w:rsid w:val="001B55BB"/>
    <w:rsid w:val="001B6437"/>
    <w:rsid w:val="001B6D5B"/>
    <w:rsid w:val="001B7094"/>
    <w:rsid w:val="001C0D4A"/>
    <w:rsid w:val="001C1271"/>
    <w:rsid w:val="001C142F"/>
    <w:rsid w:val="001C4207"/>
    <w:rsid w:val="001C4278"/>
    <w:rsid w:val="001C5FE4"/>
    <w:rsid w:val="001C6937"/>
    <w:rsid w:val="001C7128"/>
    <w:rsid w:val="001C766A"/>
    <w:rsid w:val="001D0FBB"/>
    <w:rsid w:val="001D10E4"/>
    <w:rsid w:val="001D3348"/>
    <w:rsid w:val="001D404D"/>
    <w:rsid w:val="001D4DFF"/>
    <w:rsid w:val="001D5A69"/>
    <w:rsid w:val="001D5FA6"/>
    <w:rsid w:val="001D63A6"/>
    <w:rsid w:val="001D68ED"/>
    <w:rsid w:val="001E4BF3"/>
    <w:rsid w:val="001E4C53"/>
    <w:rsid w:val="001E5576"/>
    <w:rsid w:val="001E72F9"/>
    <w:rsid w:val="001F1D2C"/>
    <w:rsid w:val="001F2A56"/>
    <w:rsid w:val="001F2FD4"/>
    <w:rsid w:val="001F464B"/>
    <w:rsid w:val="001F4AF7"/>
    <w:rsid w:val="001F5F21"/>
    <w:rsid w:val="001F6579"/>
    <w:rsid w:val="001F7D78"/>
    <w:rsid w:val="0020030E"/>
    <w:rsid w:val="00200BE9"/>
    <w:rsid w:val="0020222D"/>
    <w:rsid w:val="00204F3B"/>
    <w:rsid w:val="002054E9"/>
    <w:rsid w:val="002061C2"/>
    <w:rsid w:val="00207342"/>
    <w:rsid w:val="00207819"/>
    <w:rsid w:val="00210FAE"/>
    <w:rsid w:val="002118FE"/>
    <w:rsid w:val="00211F24"/>
    <w:rsid w:val="00215088"/>
    <w:rsid w:val="002153BC"/>
    <w:rsid w:val="00215E77"/>
    <w:rsid w:val="00216302"/>
    <w:rsid w:val="00216337"/>
    <w:rsid w:val="00216F53"/>
    <w:rsid w:val="0021789B"/>
    <w:rsid w:val="002205B0"/>
    <w:rsid w:val="002218A6"/>
    <w:rsid w:val="00222594"/>
    <w:rsid w:val="0022265B"/>
    <w:rsid w:val="00222D2D"/>
    <w:rsid w:val="002239E7"/>
    <w:rsid w:val="00223C8D"/>
    <w:rsid w:val="00223EA5"/>
    <w:rsid w:val="00225D8C"/>
    <w:rsid w:val="00227019"/>
    <w:rsid w:val="002309F3"/>
    <w:rsid w:val="00231340"/>
    <w:rsid w:val="002313BE"/>
    <w:rsid w:val="00232920"/>
    <w:rsid w:val="00232F06"/>
    <w:rsid w:val="00234926"/>
    <w:rsid w:val="00234C55"/>
    <w:rsid w:val="002350B3"/>
    <w:rsid w:val="00236145"/>
    <w:rsid w:val="00236A3C"/>
    <w:rsid w:val="00236BC8"/>
    <w:rsid w:val="00236D76"/>
    <w:rsid w:val="0023781B"/>
    <w:rsid w:val="0024054A"/>
    <w:rsid w:val="0024078D"/>
    <w:rsid w:val="002408F3"/>
    <w:rsid w:val="002415D4"/>
    <w:rsid w:val="0024360A"/>
    <w:rsid w:val="00244849"/>
    <w:rsid w:val="0024536F"/>
    <w:rsid w:val="00246958"/>
    <w:rsid w:val="00250D63"/>
    <w:rsid w:val="0025300E"/>
    <w:rsid w:val="002534D7"/>
    <w:rsid w:val="00253A5F"/>
    <w:rsid w:val="002553FA"/>
    <w:rsid w:val="00260288"/>
    <w:rsid w:val="00260BB3"/>
    <w:rsid w:val="0026271E"/>
    <w:rsid w:val="0026484B"/>
    <w:rsid w:val="00265656"/>
    <w:rsid w:val="0027122E"/>
    <w:rsid w:val="00271529"/>
    <w:rsid w:val="00271928"/>
    <w:rsid w:val="00272B79"/>
    <w:rsid w:val="002764C8"/>
    <w:rsid w:val="00277897"/>
    <w:rsid w:val="002779D6"/>
    <w:rsid w:val="00281168"/>
    <w:rsid w:val="002848ED"/>
    <w:rsid w:val="00285A9F"/>
    <w:rsid w:val="00285C39"/>
    <w:rsid w:val="00287194"/>
    <w:rsid w:val="002878F3"/>
    <w:rsid w:val="00287B44"/>
    <w:rsid w:val="00287C24"/>
    <w:rsid w:val="002901AF"/>
    <w:rsid w:val="002903FC"/>
    <w:rsid w:val="002912B4"/>
    <w:rsid w:val="0029447E"/>
    <w:rsid w:val="002949F1"/>
    <w:rsid w:val="002974D7"/>
    <w:rsid w:val="002A02C5"/>
    <w:rsid w:val="002A0692"/>
    <w:rsid w:val="002A0A89"/>
    <w:rsid w:val="002A3EDF"/>
    <w:rsid w:val="002A46C7"/>
    <w:rsid w:val="002A4F27"/>
    <w:rsid w:val="002A506D"/>
    <w:rsid w:val="002A7E58"/>
    <w:rsid w:val="002B1E49"/>
    <w:rsid w:val="002B2775"/>
    <w:rsid w:val="002B28E8"/>
    <w:rsid w:val="002B4CEC"/>
    <w:rsid w:val="002B7228"/>
    <w:rsid w:val="002B76C2"/>
    <w:rsid w:val="002B78C1"/>
    <w:rsid w:val="002B7B67"/>
    <w:rsid w:val="002B7C5A"/>
    <w:rsid w:val="002C0957"/>
    <w:rsid w:val="002C0C7B"/>
    <w:rsid w:val="002C1E26"/>
    <w:rsid w:val="002C2B99"/>
    <w:rsid w:val="002C2BC2"/>
    <w:rsid w:val="002C2BF3"/>
    <w:rsid w:val="002C30D0"/>
    <w:rsid w:val="002C4144"/>
    <w:rsid w:val="002C4FD1"/>
    <w:rsid w:val="002C552A"/>
    <w:rsid w:val="002C5CD8"/>
    <w:rsid w:val="002C61E1"/>
    <w:rsid w:val="002C6AF2"/>
    <w:rsid w:val="002D0D5C"/>
    <w:rsid w:val="002D0F33"/>
    <w:rsid w:val="002D165B"/>
    <w:rsid w:val="002D177D"/>
    <w:rsid w:val="002D17A1"/>
    <w:rsid w:val="002D28C8"/>
    <w:rsid w:val="002D4BD9"/>
    <w:rsid w:val="002E2EAB"/>
    <w:rsid w:val="002E3041"/>
    <w:rsid w:val="002E316F"/>
    <w:rsid w:val="002E3BC2"/>
    <w:rsid w:val="002E44B6"/>
    <w:rsid w:val="002E4DDD"/>
    <w:rsid w:val="002E7335"/>
    <w:rsid w:val="002F052B"/>
    <w:rsid w:val="002F0534"/>
    <w:rsid w:val="002F05F9"/>
    <w:rsid w:val="002F162B"/>
    <w:rsid w:val="002F250B"/>
    <w:rsid w:val="002F34CA"/>
    <w:rsid w:val="002F46C2"/>
    <w:rsid w:val="002F57A9"/>
    <w:rsid w:val="002F6A16"/>
    <w:rsid w:val="002F6C5B"/>
    <w:rsid w:val="002F75FD"/>
    <w:rsid w:val="00300533"/>
    <w:rsid w:val="00300BA8"/>
    <w:rsid w:val="00301116"/>
    <w:rsid w:val="00301FC4"/>
    <w:rsid w:val="003037C0"/>
    <w:rsid w:val="00303E15"/>
    <w:rsid w:val="003040B8"/>
    <w:rsid w:val="0030486E"/>
    <w:rsid w:val="00304B14"/>
    <w:rsid w:val="00305CA0"/>
    <w:rsid w:val="0030690B"/>
    <w:rsid w:val="003105DF"/>
    <w:rsid w:val="003128C5"/>
    <w:rsid w:val="00312CB3"/>
    <w:rsid w:val="00313752"/>
    <w:rsid w:val="0031469C"/>
    <w:rsid w:val="003168F1"/>
    <w:rsid w:val="0031756E"/>
    <w:rsid w:val="00317F00"/>
    <w:rsid w:val="00320089"/>
    <w:rsid w:val="00324E47"/>
    <w:rsid w:val="00325578"/>
    <w:rsid w:val="00326974"/>
    <w:rsid w:val="00326DDB"/>
    <w:rsid w:val="003305C3"/>
    <w:rsid w:val="00330EC4"/>
    <w:rsid w:val="003324D7"/>
    <w:rsid w:val="003346DD"/>
    <w:rsid w:val="003349FB"/>
    <w:rsid w:val="0033518C"/>
    <w:rsid w:val="00335A11"/>
    <w:rsid w:val="0034044C"/>
    <w:rsid w:val="00341406"/>
    <w:rsid w:val="00341B7A"/>
    <w:rsid w:val="00342672"/>
    <w:rsid w:val="003427E9"/>
    <w:rsid w:val="003439A2"/>
    <w:rsid w:val="00344C64"/>
    <w:rsid w:val="00345278"/>
    <w:rsid w:val="0034598A"/>
    <w:rsid w:val="00346075"/>
    <w:rsid w:val="003467E8"/>
    <w:rsid w:val="003473A5"/>
    <w:rsid w:val="00347711"/>
    <w:rsid w:val="00350CB2"/>
    <w:rsid w:val="00351CA2"/>
    <w:rsid w:val="00351CF9"/>
    <w:rsid w:val="00351F1A"/>
    <w:rsid w:val="003521B7"/>
    <w:rsid w:val="00352E96"/>
    <w:rsid w:val="00354820"/>
    <w:rsid w:val="00355280"/>
    <w:rsid w:val="00356730"/>
    <w:rsid w:val="00356B7F"/>
    <w:rsid w:val="0036172E"/>
    <w:rsid w:val="00362DF7"/>
    <w:rsid w:val="003631A0"/>
    <w:rsid w:val="00364786"/>
    <w:rsid w:val="00365214"/>
    <w:rsid w:val="00365C3C"/>
    <w:rsid w:val="003660D2"/>
    <w:rsid w:val="00366F41"/>
    <w:rsid w:val="00373870"/>
    <w:rsid w:val="00373D19"/>
    <w:rsid w:val="003752C2"/>
    <w:rsid w:val="0037578D"/>
    <w:rsid w:val="003759F2"/>
    <w:rsid w:val="00382EA4"/>
    <w:rsid w:val="003831EF"/>
    <w:rsid w:val="003833BF"/>
    <w:rsid w:val="00385924"/>
    <w:rsid w:val="003859AC"/>
    <w:rsid w:val="00385AA2"/>
    <w:rsid w:val="00386AAD"/>
    <w:rsid w:val="003870B3"/>
    <w:rsid w:val="00387A14"/>
    <w:rsid w:val="00390B94"/>
    <w:rsid w:val="003919CA"/>
    <w:rsid w:val="003921A2"/>
    <w:rsid w:val="00393C30"/>
    <w:rsid w:val="0039597B"/>
    <w:rsid w:val="00396DDD"/>
    <w:rsid w:val="00396E21"/>
    <w:rsid w:val="003A037E"/>
    <w:rsid w:val="003A0446"/>
    <w:rsid w:val="003A06E7"/>
    <w:rsid w:val="003A0D16"/>
    <w:rsid w:val="003A19F7"/>
    <w:rsid w:val="003A28BC"/>
    <w:rsid w:val="003A3875"/>
    <w:rsid w:val="003A3BD6"/>
    <w:rsid w:val="003A5685"/>
    <w:rsid w:val="003B00B1"/>
    <w:rsid w:val="003B01FB"/>
    <w:rsid w:val="003B17F8"/>
    <w:rsid w:val="003B35C0"/>
    <w:rsid w:val="003B3F20"/>
    <w:rsid w:val="003B4EED"/>
    <w:rsid w:val="003B6A5E"/>
    <w:rsid w:val="003C25C1"/>
    <w:rsid w:val="003C3385"/>
    <w:rsid w:val="003C4287"/>
    <w:rsid w:val="003C446B"/>
    <w:rsid w:val="003C5249"/>
    <w:rsid w:val="003C6688"/>
    <w:rsid w:val="003C6D01"/>
    <w:rsid w:val="003D032B"/>
    <w:rsid w:val="003D0F82"/>
    <w:rsid w:val="003D1590"/>
    <w:rsid w:val="003D2101"/>
    <w:rsid w:val="003D32D2"/>
    <w:rsid w:val="003D33FD"/>
    <w:rsid w:val="003D653C"/>
    <w:rsid w:val="003D69C2"/>
    <w:rsid w:val="003D6DA7"/>
    <w:rsid w:val="003E0F50"/>
    <w:rsid w:val="003E0FA2"/>
    <w:rsid w:val="003E202A"/>
    <w:rsid w:val="003E22A1"/>
    <w:rsid w:val="003E2DDF"/>
    <w:rsid w:val="003E3C37"/>
    <w:rsid w:val="003E40F6"/>
    <w:rsid w:val="003E4786"/>
    <w:rsid w:val="003E513D"/>
    <w:rsid w:val="003E734F"/>
    <w:rsid w:val="003E7AE6"/>
    <w:rsid w:val="003F012F"/>
    <w:rsid w:val="003F1F65"/>
    <w:rsid w:val="003F260C"/>
    <w:rsid w:val="003F2807"/>
    <w:rsid w:val="003F2C03"/>
    <w:rsid w:val="003F317C"/>
    <w:rsid w:val="003F3B32"/>
    <w:rsid w:val="003F50B5"/>
    <w:rsid w:val="003F52F8"/>
    <w:rsid w:val="003F57DD"/>
    <w:rsid w:val="003F60A9"/>
    <w:rsid w:val="00400A95"/>
    <w:rsid w:val="004019EA"/>
    <w:rsid w:val="00401E7D"/>
    <w:rsid w:val="004032BE"/>
    <w:rsid w:val="004034F2"/>
    <w:rsid w:val="004037D5"/>
    <w:rsid w:val="00404768"/>
    <w:rsid w:val="004049D5"/>
    <w:rsid w:val="00404E49"/>
    <w:rsid w:val="00405189"/>
    <w:rsid w:val="00410150"/>
    <w:rsid w:val="0041083D"/>
    <w:rsid w:val="00411EDE"/>
    <w:rsid w:val="00413832"/>
    <w:rsid w:val="00417714"/>
    <w:rsid w:val="004200EB"/>
    <w:rsid w:val="0042079A"/>
    <w:rsid w:val="00420C4F"/>
    <w:rsid w:val="00421810"/>
    <w:rsid w:val="004223AA"/>
    <w:rsid w:val="00422F38"/>
    <w:rsid w:val="00422FDA"/>
    <w:rsid w:val="0042342F"/>
    <w:rsid w:val="00425213"/>
    <w:rsid w:val="00427037"/>
    <w:rsid w:val="004272F0"/>
    <w:rsid w:val="004273E0"/>
    <w:rsid w:val="0043054B"/>
    <w:rsid w:val="00431A04"/>
    <w:rsid w:val="004334AE"/>
    <w:rsid w:val="00433651"/>
    <w:rsid w:val="004344BA"/>
    <w:rsid w:val="004351DB"/>
    <w:rsid w:val="00435ADB"/>
    <w:rsid w:val="00437137"/>
    <w:rsid w:val="00437820"/>
    <w:rsid w:val="00440F70"/>
    <w:rsid w:val="00441D1A"/>
    <w:rsid w:val="00442A4A"/>
    <w:rsid w:val="004439F7"/>
    <w:rsid w:val="00445E3D"/>
    <w:rsid w:val="0044630D"/>
    <w:rsid w:val="004464A9"/>
    <w:rsid w:val="004466CF"/>
    <w:rsid w:val="00451558"/>
    <w:rsid w:val="00452853"/>
    <w:rsid w:val="004557C8"/>
    <w:rsid w:val="00455C5D"/>
    <w:rsid w:val="00456EB5"/>
    <w:rsid w:val="00457AB2"/>
    <w:rsid w:val="004623C1"/>
    <w:rsid w:val="00462C7A"/>
    <w:rsid w:val="0046418E"/>
    <w:rsid w:val="00465316"/>
    <w:rsid w:val="00466148"/>
    <w:rsid w:val="00471B74"/>
    <w:rsid w:val="00471DF3"/>
    <w:rsid w:val="004722C2"/>
    <w:rsid w:val="00472CA9"/>
    <w:rsid w:val="00472EF0"/>
    <w:rsid w:val="004732BF"/>
    <w:rsid w:val="00473AE0"/>
    <w:rsid w:val="00473BF0"/>
    <w:rsid w:val="004745C0"/>
    <w:rsid w:val="004754BF"/>
    <w:rsid w:val="00476A0A"/>
    <w:rsid w:val="00476C4E"/>
    <w:rsid w:val="00480161"/>
    <w:rsid w:val="0048208A"/>
    <w:rsid w:val="00483D69"/>
    <w:rsid w:val="00484206"/>
    <w:rsid w:val="00485673"/>
    <w:rsid w:val="00486162"/>
    <w:rsid w:val="004866F7"/>
    <w:rsid w:val="004876DD"/>
    <w:rsid w:val="00487E25"/>
    <w:rsid w:val="0049120D"/>
    <w:rsid w:val="00491FA0"/>
    <w:rsid w:val="00493110"/>
    <w:rsid w:val="00493147"/>
    <w:rsid w:val="00493ECC"/>
    <w:rsid w:val="00495DCE"/>
    <w:rsid w:val="0049636B"/>
    <w:rsid w:val="00497BF1"/>
    <w:rsid w:val="00497ECF"/>
    <w:rsid w:val="004A0743"/>
    <w:rsid w:val="004A0A30"/>
    <w:rsid w:val="004A10B8"/>
    <w:rsid w:val="004A3F5F"/>
    <w:rsid w:val="004A46C2"/>
    <w:rsid w:val="004A5AD4"/>
    <w:rsid w:val="004A6063"/>
    <w:rsid w:val="004A60D6"/>
    <w:rsid w:val="004A7978"/>
    <w:rsid w:val="004A7B1A"/>
    <w:rsid w:val="004B04A7"/>
    <w:rsid w:val="004B1B98"/>
    <w:rsid w:val="004B2322"/>
    <w:rsid w:val="004B3E87"/>
    <w:rsid w:val="004B4467"/>
    <w:rsid w:val="004B680C"/>
    <w:rsid w:val="004B71D3"/>
    <w:rsid w:val="004C02DA"/>
    <w:rsid w:val="004C07D2"/>
    <w:rsid w:val="004C2E89"/>
    <w:rsid w:val="004C4C39"/>
    <w:rsid w:val="004D020E"/>
    <w:rsid w:val="004D0401"/>
    <w:rsid w:val="004D0E6F"/>
    <w:rsid w:val="004D1835"/>
    <w:rsid w:val="004D1F3E"/>
    <w:rsid w:val="004D21EA"/>
    <w:rsid w:val="004D2774"/>
    <w:rsid w:val="004D2A1B"/>
    <w:rsid w:val="004D3195"/>
    <w:rsid w:val="004D53DD"/>
    <w:rsid w:val="004D68F2"/>
    <w:rsid w:val="004E2089"/>
    <w:rsid w:val="004E2561"/>
    <w:rsid w:val="004E256F"/>
    <w:rsid w:val="004E2F27"/>
    <w:rsid w:val="004E33CE"/>
    <w:rsid w:val="004E3C95"/>
    <w:rsid w:val="004E44FC"/>
    <w:rsid w:val="004E4F2C"/>
    <w:rsid w:val="004E6B1B"/>
    <w:rsid w:val="004E72DF"/>
    <w:rsid w:val="004E747D"/>
    <w:rsid w:val="004E7E3D"/>
    <w:rsid w:val="004F0632"/>
    <w:rsid w:val="004F07F1"/>
    <w:rsid w:val="004F15C4"/>
    <w:rsid w:val="004F396C"/>
    <w:rsid w:val="004F4EDB"/>
    <w:rsid w:val="004F5818"/>
    <w:rsid w:val="004F6279"/>
    <w:rsid w:val="004F6C54"/>
    <w:rsid w:val="004F6D47"/>
    <w:rsid w:val="00500F93"/>
    <w:rsid w:val="005013A7"/>
    <w:rsid w:val="005029D7"/>
    <w:rsid w:val="00502D55"/>
    <w:rsid w:val="00503A12"/>
    <w:rsid w:val="005054D2"/>
    <w:rsid w:val="00505509"/>
    <w:rsid w:val="0050571B"/>
    <w:rsid w:val="00507849"/>
    <w:rsid w:val="005112DA"/>
    <w:rsid w:val="00511C88"/>
    <w:rsid w:val="00511ECE"/>
    <w:rsid w:val="00512312"/>
    <w:rsid w:val="00512880"/>
    <w:rsid w:val="00513FB1"/>
    <w:rsid w:val="00514036"/>
    <w:rsid w:val="00514B28"/>
    <w:rsid w:val="00514EE2"/>
    <w:rsid w:val="005151A4"/>
    <w:rsid w:val="00517456"/>
    <w:rsid w:val="00520567"/>
    <w:rsid w:val="00521228"/>
    <w:rsid w:val="0052132F"/>
    <w:rsid w:val="0052358D"/>
    <w:rsid w:val="0052380C"/>
    <w:rsid w:val="00523A26"/>
    <w:rsid w:val="00524B6C"/>
    <w:rsid w:val="00524B7C"/>
    <w:rsid w:val="005258CB"/>
    <w:rsid w:val="00526264"/>
    <w:rsid w:val="00527BC5"/>
    <w:rsid w:val="0053155F"/>
    <w:rsid w:val="005335B8"/>
    <w:rsid w:val="00533D28"/>
    <w:rsid w:val="00534E0B"/>
    <w:rsid w:val="00537533"/>
    <w:rsid w:val="00537704"/>
    <w:rsid w:val="005377C1"/>
    <w:rsid w:val="0054240B"/>
    <w:rsid w:val="0054243B"/>
    <w:rsid w:val="00542C72"/>
    <w:rsid w:val="005437E0"/>
    <w:rsid w:val="00543F03"/>
    <w:rsid w:val="00544479"/>
    <w:rsid w:val="00544BA2"/>
    <w:rsid w:val="00544E95"/>
    <w:rsid w:val="0054516C"/>
    <w:rsid w:val="005469F0"/>
    <w:rsid w:val="00547A07"/>
    <w:rsid w:val="005503D2"/>
    <w:rsid w:val="00550561"/>
    <w:rsid w:val="00550593"/>
    <w:rsid w:val="00550C54"/>
    <w:rsid w:val="00550F59"/>
    <w:rsid w:val="0055200E"/>
    <w:rsid w:val="005520CF"/>
    <w:rsid w:val="00552F9D"/>
    <w:rsid w:val="005533D8"/>
    <w:rsid w:val="005533DE"/>
    <w:rsid w:val="00553810"/>
    <w:rsid w:val="0055558F"/>
    <w:rsid w:val="00557E21"/>
    <w:rsid w:val="00557E98"/>
    <w:rsid w:val="005612DF"/>
    <w:rsid w:val="005618F3"/>
    <w:rsid w:val="00561A6D"/>
    <w:rsid w:val="00562D24"/>
    <w:rsid w:val="005647C0"/>
    <w:rsid w:val="00564C5A"/>
    <w:rsid w:val="005650EE"/>
    <w:rsid w:val="00565E1E"/>
    <w:rsid w:val="005660F4"/>
    <w:rsid w:val="005718EA"/>
    <w:rsid w:val="0057268F"/>
    <w:rsid w:val="00574C33"/>
    <w:rsid w:val="00575918"/>
    <w:rsid w:val="00575DA4"/>
    <w:rsid w:val="00582412"/>
    <w:rsid w:val="005829BE"/>
    <w:rsid w:val="005832FB"/>
    <w:rsid w:val="00583634"/>
    <w:rsid w:val="005845AE"/>
    <w:rsid w:val="00584600"/>
    <w:rsid w:val="00585D82"/>
    <w:rsid w:val="00586ACF"/>
    <w:rsid w:val="0058729C"/>
    <w:rsid w:val="0058777B"/>
    <w:rsid w:val="005900FC"/>
    <w:rsid w:val="0059033F"/>
    <w:rsid w:val="00590381"/>
    <w:rsid w:val="005922F6"/>
    <w:rsid w:val="00594999"/>
    <w:rsid w:val="00594D4F"/>
    <w:rsid w:val="005952B4"/>
    <w:rsid w:val="00595852"/>
    <w:rsid w:val="00596E4B"/>
    <w:rsid w:val="0059709C"/>
    <w:rsid w:val="005970B2"/>
    <w:rsid w:val="005A00BB"/>
    <w:rsid w:val="005A0B1E"/>
    <w:rsid w:val="005A106D"/>
    <w:rsid w:val="005A1223"/>
    <w:rsid w:val="005A28AC"/>
    <w:rsid w:val="005A298C"/>
    <w:rsid w:val="005A3A60"/>
    <w:rsid w:val="005A6682"/>
    <w:rsid w:val="005A6BB1"/>
    <w:rsid w:val="005B10BE"/>
    <w:rsid w:val="005B1A70"/>
    <w:rsid w:val="005B21C8"/>
    <w:rsid w:val="005B2383"/>
    <w:rsid w:val="005B34E3"/>
    <w:rsid w:val="005B44BE"/>
    <w:rsid w:val="005B50C0"/>
    <w:rsid w:val="005B58AD"/>
    <w:rsid w:val="005B5DD6"/>
    <w:rsid w:val="005B5EB6"/>
    <w:rsid w:val="005B69D7"/>
    <w:rsid w:val="005B745F"/>
    <w:rsid w:val="005B7C96"/>
    <w:rsid w:val="005B7FFC"/>
    <w:rsid w:val="005C1385"/>
    <w:rsid w:val="005C252B"/>
    <w:rsid w:val="005C274F"/>
    <w:rsid w:val="005C500F"/>
    <w:rsid w:val="005C5E36"/>
    <w:rsid w:val="005D103A"/>
    <w:rsid w:val="005D1148"/>
    <w:rsid w:val="005D1D4F"/>
    <w:rsid w:val="005D2859"/>
    <w:rsid w:val="005D3CE4"/>
    <w:rsid w:val="005D3DBF"/>
    <w:rsid w:val="005D6912"/>
    <w:rsid w:val="005D6E3C"/>
    <w:rsid w:val="005D770E"/>
    <w:rsid w:val="005D7950"/>
    <w:rsid w:val="005D7D23"/>
    <w:rsid w:val="005D7DAF"/>
    <w:rsid w:val="005E1A54"/>
    <w:rsid w:val="005E1CA1"/>
    <w:rsid w:val="005E343F"/>
    <w:rsid w:val="005E3F16"/>
    <w:rsid w:val="005E3FD5"/>
    <w:rsid w:val="005E5231"/>
    <w:rsid w:val="005E6847"/>
    <w:rsid w:val="005E79E7"/>
    <w:rsid w:val="005F0E20"/>
    <w:rsid w:val="005F11AA"/>
    <w:rsid w:val="005F3F1F"/>
    <w:rsid w:val="005F45BE"/>
    <w:rsid w:val="005F4991"/>
    <w:rsid w:val="005F6DF2"/>
    <w:rsid w:val="005F7548"/>
    <w:rsid w:val="005F7805"/>
    <w:rsid w:val="00600483"/>
    <w:rsid w:val="00600A6A"/>
    <w:rsid w:val="00600DB5"/>
    <w:rsid w:val="00604308"/>
    <w:rsid w:val="00604935"/>
    <w:rsid w:val="00605348"/>
    <w:rsid w:val="00605466"/>
    <w:rsid w:val="006063CD"/>
    <w:rsid w:val="0060678F"/>
    <w:rsid w:val="0060727E"/>
    <w:rsid w:val="00610C00"/>
    <w:rsid w:val="00610D52"/>
    <w:rsid w:val="00612499"/>
    <w:rsid w:val="0061341A"/>
    <w:rsid w:val="00613A7D"/>
    <w:rsid w:val="0061482E"/>
    <w:rsid w:val="00615EE1"/>
    <w:rsid w:val="006161A6"/>
    <w:rsid w:val="006162D7"/>
    <w:rsid w:val="0061697E"/>
    <w:rsid w:val="00622010"/>
    <w:rsid w:val="0063094A"/>
    <w:rsid w:val="006309BD"/>
    <w:rsid w:val="00630B33"/>
    <w:rsid w:val="0063265A"/>
    <w:rsid w:val="006331BC"/>
    <w:rsid w:val="006336C2"/>
    <w:rsid w:val="00633B7A"/>
    <w:rsid w:val="00633CC8"/>
    <w:rsid w:val="006344CE"/>
    <w:rsid w:val="006350A1"/>
    <w:rsid w:val="00635AFC"/>
    <w:rsid w:val="006370B2"/>
    <w:rsid w:val="00637558"/>
    <w:rsid w:val="00637A43"/>
    <w:rsid w:val="00642115"/>
    <w:rsid w:val="00642543"/>
    <w:rsid w:val="00643564"/>
    <w:rsid w:val="0064366E"/>
    <w:rsid w:val="006436CB"/>
    <w:rsid w:val="0064449D"/>
    <w:rsid w:val="0064603D"/>
    <w:rsid w:val="0065155C"/>
    <w:rsid w:val="00652544"/>
    <w:rsid w:val="006531EA"/>
    <w:rsid w:val="00657085"/>
    <w:rsid w:val="006616EF"/>
    <w:rsid w:val="00662435"/>
    <w:rsid w:val="00663426"/>
    <w:rsid w:val="00664219"/>
    <w:rsid w:val="00664826"/>
    <w:rsid w:val="00664A06"/>
    <w:rsid w:val="00665354"/>
    <w:rsid w:val="00666D03"/>
    <w:rsid w:val="0066770E"/>
    <w:rsid w:val="0067073B"/>
    <w:rsid w:val="006707E9"/>
    <w:rsid w:val="00671C49"/>
    <w:rsid w:val="00673474"/>
    <w:rsid w:val="006735F1"/>
    <w:rsid w:val="0067486F"/>
    <w:rsid w:val="00674B4B"/>
    <w:rsid w:val="00676553"/>
    <w:rsid w:val="00676D63"/>
    <w:rsid w:val="00676F0D"/>
    <w:rsid w:val="006775E6"/>
    <w:rsid w:val="0067765C"/>
    <w:rsid w:val="00680693"/>
    <w:rsid w:val="00680B9E"/>
    <w:rsid w:val="00682211"/>
    <w:rsid w:val="0068299F"/>
    <w:rsid w:val="00683116"/>
    <w:rsid w:val="00684B5C"/>
    <w:rsid w:val="0068526C"/>
    <w:rsid w:val="0068586C"/>
    <w:rsid w:val="006875CD"/>
    <w:rsid w:val="00687AFF"/>
    <w:rsid w:val="00692924"/>
    <w:rsid w:val="00692F11"/>
    <w:rsid w:val="00694108"/>
    <w:rsid w:val="00695394"/>
    <w:rsid w:val="00695A6D"/>
    <w:rsid w:val="00696020"/>
    <w:rsid w:val="00696976"/>
    <w:rsid w:val="006A0407"/>
    <w:rsid w:val="006A2504"/>
    <w:rsid w:val="006A2506"/>
    <w:rsid w:val="006A2755"/>
    <w:rsid w:val="006A4FF0"/>
    <w:rsid w:val="006A7EA0"/>
    <w:rsid w:val="006B0571"/>
    <w:rsid w:val="006B093B"/>
    <w:rsid w:val="006B1854"/>
    <w:rsid w:val="006B1D8F"/>
    <w:rsid w:val="006B2279"/>
    <w:rsid w:val="006B2353"/>
    <w:rsid w:val="006B243C"/>
    <w:rsid w:val="006B2C86"/>
    <w:rsid w:val="006B2D0B"/>
    <w:rsid w:val="006B2EAF"/>
    <w:rsid w:val="006B3DCC"/>
    <w:rsid w:val="006B4585"/>
    <w:rsid w:val="006B4C13"/>
    <w:rsid w:val="006B52F7"/>
    <w:rsid w:val="006B5648"/>
    <w:rsid w:val="006B579D"/>
    <w:rsid w:val="006B59BD"/>
    <w:rsid w:val="006B68DF"/>
    <w:rsid w:val="006B71F4"/>
    <w:rsid w:val="006B7D20"/>
    <w:rsid w:val="006C0119"/>
    <w:rsid w:val="006C0D95"/>
    <w:rsid w:val="006C34BF"/>
    <w:rsid w:val="006C7150"/>
    <w:rsid w:val="006D0759"/>
    <w:rsid w:val="006D3320"/>
    <w:rsid w:val="006D3B62"/>
    <w:rsid w:val="006D4C0E"/>
    <w:rsid w:val="006D6BA4"/>
    <w:rsid w:val="006D6DDB"/>
    <w:rsid w:val="006E1F45"/>
    <w:rsid w:val="006E3A56"/>
    <w:rsid w:val="006E5281"/>
    <w:rsid w:val="006E5474"/>
    <w:rsid w:val="006E5486"/>
    <w:rsid w:val="006E564B"/>
    <w:rsid w:val="006E5A7C"/>
    <w:rsid w:val="006E66D9"/>
    <w:rsid w:val="006E7073"/>
    <w:rsid w:val="006E72A6"/>
    <w:rsid w:val="006E76E5"/>
    <w:rsid w:val="006F00D9"/>
    <w:rsid w:val="006F02A9"/>
    <w:rsid w:val="006F0AE3"/>
    <w:rsid w:val="006F279B"/>
    <w:rsid w:val="006F2E2A"/>
    <w:rsid w:val="006F6FED"/>
    <w:rsid w:val="006F776F"/>
    <w:rsid w:val="00701B4E"/>
    <w:rsid w:val="00702667"/>
    <w:rsid w:val="00704CEC"/>
    <w:rsid w:val="0070501D"/>
    <w:rsid w:val="007053B9"/>
    <w:rsid w:val="00706894"/>
    <w:rsid w:val="00706A2A"/>
    <w:rsid w:val="00706B6C"/>
    <w:rsid w:val="0070776A"/>
    <w:rsid w:val="007110EC"/>
    <w:rsid w:val="00711672"/>
    <w:rsid w:val="00711DFC"/>
    <w:rsid w:val="007122EE"/>
    <w:rsid w:val="00721256"/>
    <w:rsid w:val="007215AF"/>
    <w:rsid w:val="00722C89"/>
    <w:rsid w:val="007233E0"/>
    <w:rsid w:val="00723BC5"/>
    <w:rsid w:val="0072677F"/>
    <w:rsid w:val="007277AB"/>
    <w:rsid w:val="007305A5"/>
    <w:rsid w:val="00730A14"/>
    <w:rsid w:val="00736928"/>
    <w:rsid w:val="00740E76"/>
    <w:rsid w:val="00742B6B"/>
    <w:rsid w:val="0074461F"/>
    <w:rsid w:val="00744F11"/>
    <w:rsid w:val="00745350"/>
    <w:rsid w:val="00745F90"/>
    <w:rsid w:val="007462BB"/>
    <w:rsid w:val="00747B87"/>
    <w:rsid w:val="007503A9"/>
    <w:rsid w:val="00751A04"/>
    <w:rsid w:val="00751F89"/>
    <w:rsid w:val="00752395"/>
    <w:rsid w:val="00752B4E"/>
    <w:rsid w:val="00753B00"/>
    <w:rsid w:val="00753EF7"/>
    <w:rsid w:val="0075400A"/>
    <w:rsid w:val="00754F18"/>
    <w:rsid w:val="00755E13"/>
    <w:rsid w:val="007571A2"/>
    <w:rsid w:val="007579C9"/>
    <w:rsid w:val="00760038"/>
    <w:rsid w:val="00760ADA"/>
    <w:rsid w:val="00760BEE"/>
    <w:rsid w:val="00760CE4"/>
    <w:rsid w:val="00761B51"/>
    <w:rsid w:val="00763431"/>
    <w:rsid w:val="00771D54"/>
    <w:rsid w:val="00771F21"/>
    <w:rsid w:val="00772488"/>
    <w:rsid w:val="0077253D"/>
    <w:rsid w:val="0077398C"/>
    <w:rsid w:val="007743A3"/>
    <w:rsid w:val="00774458"/>
    <w:rsid w:val="00774759"/>
    <w:rsid w:val="00774FA5"/>
    <w:rsid w:val="0077587F"/>
    <w:rsid w:val="007762FE"/>
    <w:rsid w:val="00777A57"/>
    <w:rsid w:val="007801ED"/>
    <w:rsid w:val="00780948"/>
    <w:rsid w:val="00780FA2"/>
    <w:rsid w:val="007824F8"/>
    <w:rsid w:val="00783B81"/>
    <w:rsid w:val="007855E1"/>
    <w:rsid w:val="007858EE"/>
    <w:rsid w:val="00786EB3"/>
    <w:rsid w:val="007877A4"/>
    <w:rsid w:val="0079106A"/>
    <w:rsid w:val="00791F5A"/>
    <w:rsid w:val="007922F2"/>
    <w:rsid w:val="0079286E"/>
    <w:rsid w:val="007932B1"/>
    <w:rsid w:val="00793C48"/>
    <w:rsid w:val="00793E48"/>
    <w:rsid w:val="0079430B"/>
    <w:rsid w:val="0079484A"/>
    <w:rsid w:val="007955AB"/>
    <w:rsid w:val="00795F05"/>
    <w:rsid w:val="00796188"/>
    <w:rsid w:val="007A0E66"/>
    <w:rsid w:val="007A23A2"/>
    <w:rsid w:val="007A2AFB"/>
    <w:rsid w:val="007A53CB"/>
    <w:rsid w:val="007A5774"/>
    <w:rsid w:val="007A5D92"/>
    <w:rsid w:val="007B18A2"/>
    <w:rsid w:val="007B1F4F"/>
    <w:rsid w:val="007B2093"/>
    <w:rsid w:val="007B5CB2"/>
    <w:rsid w:val="007B5DE8"/>
    <w:rsid w:val="007B6295"/>
    <w:rsid w:val="007B6756"/>
    <w:rsid w:val="007B6A58"/>
    <w:rsid w:val="007B6B42"/>
    <w:rsid w:val="007C18B5"/>
    <w:rsid w:val="007C2FD4"/>
    <w:rsid w:val="007C5195"/>
    <w:rsid w:val="007C59C0"/>
    <w:rsid w:val="007C5F9A"/>
    <w:rsid w:val="007C7251"/>
    <w:rsid w:val="007C7CE3"/>
    <w:rsid w:val="007D0BDB"/>
    <w:rsid w:val="007D10C2"/>
    <w:rsid w:val="007D1A9A"/>
    <w:rsid w:val="007D2D43"/>
    <w:rsid w:val="007D36C7"/>
    <w:rsid w:val="007D45CD"/>
    <w:rsid w:val="007D48D2"/>
    <w:rsid w:val="007D4D06"/>
    <w:rsid w:val="007D536D"/>
    <w:rsid w:val="007D6D11"/>
    <w:rsid w:val="007E0AAA"/>
    <w:rsid w:val="007E0B1D"/>
    <w:rsid w:val="007E0C0D"/>
    <w:rsid w:val="007E0E6D"/>
    <w:rsid w:val="007E2382"/>
    <w:rsid w:val="007E3AD7"/>
    <w:rsid w:val="007E3DD4"/>
    <w:rsid w:val="007E400D"/>
    <w:rsid w:val="007F0139"/>
    <w:rsid w:val="007F10E1"/>
    <w:rsid w:val="007F130B"/>
    <w:rsid w:val="007F1358"/>
    <w:rsid w:val="007F34C3"/>
    <w:rsid w:val="007F3BFC"/>
    <w:rsid w:val="007F7B09"/>
    <w:rsid w:val="0080097C"/>
    <w:rsid w:val="0080104E"/>
    <w:rsid w:val="008013FC"/>
    <w:rsid w:val="008020F3"/>
    <w:rsid w:val="0080264F"/>
    <w:rsid w:val="008032AE"/>
    <w:rsid w:val="00804116"/>
    <w:rsid w:val="00810276"/>
    <w:rsid w:val="00810279"/>
    <w:rsid w:val="0081052C"/>
    <w:rsid w:val="00812055"/>
    <w:rsid w:val="0081313D"/>
    <w:rsid w:val="008143A9"/>
    <w:rsid w:val="008149B0"/>
    <w:rsid w:val="00814A39"/>
    <w:rsid w:val="008156E9"/>
    <w:rsid w:val="00815EA7"/>
    <w:rsid w:val="00817E2D"/>
    <w:rsid w:val="00820451"/>
    <w:rsid w:val="00820C59"/>
    <w:rsid w:val="00821CA5"/>
    <w:rsid w:val="00822767"/>
    <w:rsid w:val="00823498"/>
    <w:rsid w:val="008236AE"/>
    <w:rsid w:val="008237D7"/>
    <w:rsid w:val="00823DDE"/>
    <w:rsid w:val="00825459"/>
    <w:rsid w:val="008268ED"/>
    <w:rsid w:val="008269B6"/>
    <w:rsid w:val="00830AE4"/>
    <w:rsid w:val="00831CD0"/>
    <w:rsid w:val="00832BB4"/>
    <w:rsid w:val="00833CD7"/>
    <w:rsid w:val="00833DAD"/>
    <w:rsid w:val="00834627"/>
    <w:rsid w:val="00836C8D"/>
    <w:rsid w:val="00840409"/>
    <w:rsid w:val="00841303"/>
    <w:rsid w:val="0084144C"/>
    <w:rsid w:val="00841A1D"/>
    <w:rsid w:val="008432F3"/>
    <w:rsid w:val="00843DE0"/>
    <w:rsid w:val="00844BD5"/>
    <w:rsid w:val="00845225"/>
    <w:rsid w:val="00850313"/>
    <w:rsid w:val="0085123F"/>
    <w:rsid w:val="008520CF"/>
    <w:rsid w:val="0085236F"/>
    <w:rsid w:val="008539E1"/>
    <w:rsid w:val="0085650E"/>
    <w:rsid w:val="00856BA7"/>
    <w:rsid w:val="008570E8"/>
    <w:rsid w:val="008600F5"/>
    <w:rsid w:val="0086068E"/>
    <w:rsid w:val="00860F3E"/>
    <w:rsid w:val="008624A7"/>
    <w:rsid w:val="00862964"/>
    <w:rsid w:val="00863298"/>
    <w:rsid w:val="0086340E"/>
    <w:rsid w:val="00863797"/>
    <w:rsid w:val="00863DC8"/>
    <w:rsid w:val="00865723"/>
    <w:rsid w:val="00866621"/>
    <w:rsid w:val="00866796"/>
    <w:rsid w:val="00871381"/>
    <w:rsid w:val="00871691"/>
    <w:rsid w:val="00872C64"/>
    <w:rsid w:val="00872C95"/>
    <w:rsid w:val="00872CE4"/>
    <w:rsid w:val="008747C3"/>
    <w:rsid w:val="00874F07"/>
    <w:rsid w:val="0087533F"/>
    <w:rsid w:val="008770CF"/>
    <w:rsid w:val="0087774D"/>
    <w:rsid w:val="00877C63"/>
    <w:rsid w:val="0088092D"/>
    <w:rsid w:val="008811E9"/>
    <w:rsid w:val="00882134"/>
    <w:rsid w:val="00882C9C"/>
    <w:rsid w:val="00882D2B"/>
    <w:rsid w:val="00882E9A"/>
    <w:rsid w:val="00884C59"/>
    <w:rsid w:val="00886492"/>
    <w:rsid w:val="00886C2B"/>
    <w:rsid w:val="008873F2"/>
    <w:rsid w:val="008878C2"/>
    <w:rsid w:val="008879CF"/>
    <w:rsid w:val="00890BEB"/>
    <w:rsid w:val="00891363"/>
    <w:rsid w:val="00891726"/>
    <w:rsid w:val="00891BC8"/>
    <w:rsid w:val="00892A7A"/>
    <w:rsid w:val="00893002"/>
    <w:rsid w:val="008938A4"/>
    <w:rsid w:val="00893E1E"/>
    <w:rsid w:val="00894920"/>
    <w:rsid w:val="00894A6C"/>
    <w:rsid w:val="00895195"/>
    <w:rsid w:val="008958CD"/>
    <w:rsid w:val="00896B10"/>
    <w:rsid w:val="00897A46"/>
    <w:rsid w:val="008A042B"/>
    <w:rsid w:val="008A0881"/>
    <w:rsid w:val="008A22E9"/>
    <w:rsid w:val="008A3CFF"/>
    <w:rsid w:val="008A6B7E"/>
    <w:rsid w:val="008B15FB"/>
    <w:rsid w:val="008B160E"/>
    <w:rsid w:val="008B3170"/>
    <w:rsid w:val="008B3DFD"/>
    <w:rsid w:val="008B4750"/>
    <w:rsid w:val="008B503B"/>
    <w:rsid w:val="008B6A87"/>
    <w:rsid w:val="008B6EBA"/>
    <w:rsid w:val="008C0D07"/>
    <w:rsid w:val="008C1C82"/>
    <w:rsid w:val="008C21AA"/>
    <w:rsid w:val="008C291D"/>
    <w:rsid w:val="008C452D"/>
    <w:rsid w:val="008C5130"/>
    <w:rsid w:val="008C51E5"/>
    <w:rsid w:val="008C5380"/>
    <w:rsid w:val="008C5445"/>
    <w:rsid w:val="008C5727"/>
    <w:rsid w:val="008C6094"/>
    <w:rsid w:val="008C70A7"/>
    <w:rsid w:val="008C74C0"/>
    <w:rsid w:val="008C77E3"/>
    <w:rsid w:val="008D096E"/>
    <w:rsid w:val="008D1A46"/>
    <w:rsid w:val="008D2C04"/>
    <w:rsid w:val="008D2DA9"/>
    <w:rsid w:val="008D3EB2"/>
    <w:rsid w:val="008D3ED5"/>
    <w:rsid w:val="008D4042"/>
    <w:rsid w:val="008D4BF8"/>
    <w:rsid w:val="008D4CC4"/>
    <w:rsid w:val="008D5182"/>
    <w:rsid w:val="008D6545"/>
    <w:rsid w:val="008D6E40"/>
    <w:rsid w:val="008D7D3E"/>
    <w:rsid w:val="008E0D88"/>
    <w:rsid w:val="008E1978"/>
    <w:rsid w:val="008E361F"/>
    <w:rsid w:val="008E3D90"/>
    <w:rsid w:val="008E55A5"/>
    <w:rsid w:val="008E577D"/>
    <w:rsid w:val="008E622A"/>
    <w:rsid w:val="008E682A"/>
    <w:rsid w:val="008E75A9"/>
    <w:rsid w:val="008E7CB8"/>
    <w:rsid w:val="008F070A"/>
    <w:rsid w:val="008F0A49"/>
    <w:rsid w:val="008F2EAE"/>
    <w:rsid w:val="008F3B4D"/>
    <w:rsid w:val="008F4267"/>
    <w:rsid w:val="008F5581"/>
    <w:rsid w:val="008F6798"/>
    <w:rsid w:val="008F7003"/>
    <w:rsid w:val="009014F1"/>
    <w:rsid w:val="00901C71"/>
    <w:rsid w:val="00903E43"/>
    <w:rsid w:val="009047D0"/>
    <w:rsid w:val="0090661F"/>
    <w:rsid w:val="009079E6"/>
    <w:rsid w:val="00911348"/>
    <w:rsid w:val="00912081"/>
    <w:rsid w:val="00912186"/>
    <w:rsid w:val="0091293E"/>
    <w:rsid w:val="00912E57"/>
    <w:rsid w:val="0091588C"/>
    <w:rsid w:val="0091723A"/>
    <w:rsid w:val="00920303"/>
    <w:rsid w:val="009214EB"/>
    <w:rsid w:val="0092342E"/>
    <w:rsid w:val="009246E6"/>
    <w:rsid w:val="00925804"/>
    <w:rsid w:val="00930AF7"/>
    <w:rsid w:val="00930FE0"/>
    <w:rsid w:val="00931CD1"/>
    <w:rsid w:val="00932FA3"/>
    <w:rsid w:val="00933A25"/>
    <w:rsid w:val="00933EFB"/>
    <w:rsid w:val="00935D5C"/>
    <w:rsid w:val="0093624D"/>
    <w:rsid w:val="009377CF"/>
    <w:rsid w:val="00940462"/>
    <w:rsid w:val="009405D1"/>
    <w:rsid w:val="009426D8"/>
    <w:rsid w:val="00943730"/>
    <w:rsid w:val="00945021"/>
    <w:rsid w:val="00945716"/>
    <w:rsid w:val="0094637F"/>
    <w:rsid w:val="00946423"/>
    <w:rsid w:val="00946DAA"/>
    <w:rsid w:val="0095016B"/>
    <w:rsid w:val="00951539"/>
    <w:rsid w:val="00952011"/>
    <w:rsid w:val="0095326C"/>
    <w:rsid w:val="00953BE1"/>
    <w:rsid w:val="00953CA0"/>
    <w:rsid w:val="0095408A"/>
    <w:rsid w:val="009543AF"/>
    <w:rsid w:val="009566B9"/>
    <w:rsid w:val="00961AE5"/>
    <w:rsid w:val="00962438"/>
    <w:rsid w:val="00963274"/>
    <w:rsid w:val="009634A8"/>
    <w:rsid w:val="00964532"/>
    <w:rsid w:val="009667D1"/>
    <w:rsid w:val="00967242"/>
    <w:rsid w:val="009704AE"/>
    <w:rsid w:val="009705B0"/>
    <w:rsid w:val="009706B3"/>
    <w:rsid w:val="009712FA"/>
    <w:rsid w:val="00971DA0"/>
    <w:rsid w:val="00972616"/>
    <w:rsid w:val="0097279E"/>
    <w:rsid w:val="009737D5"/>
    <w:rsid w:val="0097387A"/>
    <w:rsid w:val="00974455"/>
    <w:rsid w:val="00974548"/>
    <w:rsid w:val="009748D9"/>
    <w:rsid w:val="009750F9"/>
    <w:rsid w:val="00975DBE"/>
    <w:rsid w:val="00976B57"/>
    <w:rsid w:val="009815B3"/>
    <w:rsid w:val="00981CC3"/>
    <w:rsid w:val="00981F3C"/>
    <w:rsid w:val="009822C1"/>
    <w:rsid w:val="009835E7"/>
    <w:rsid w:val="00983879"/>
    <w:rsid w:val="00984338"/>
    <w:rsid w:val="0098467C"/>
    <w:rsid w:val="009848A7"/>
    <w:rsid w:val="0098651A"/>
    <w:rsid w:val="00987162"/>
    <w:rsid w:val="00987BDE"/>
    <w:rsid w:val="00987E80"/>
    <w:rsid w:val="0099106C"/>
    <w:rsid w:val="00991A0D"/>
    <w:rsid w:val="009938F1"/>
    <w:rsid w:val="009945DA"/>
    <w:rsid w:val="0099524E"/>
    <w:rsid w:val="009978B1"/>
    <w:rsid w:val="009978B2"/>
    <w:rsid w:val="00997C0A"/>
    <w:rsid w:val="009A013A"/>
    <w:rsid w:val="009A1EB2"/>
    <w:rsid w:val="009A2253"/>
    <w:rsid w:val="009A4C86"/>
    <w:rsid w:val="009A52FF"/>
    <w:rsid w:val="009A715F"/>
    <w:rsid w:val="009A7B9E"/>
    <w:rsid w:val="009B6135"/>
    <w:rsid w:val="009C0E8F"/>
    <w:rsid w:val="009C0F84"/>
    <w:rsid w:val="009C1794"/>
    <w:rsid w:val="009C3164"/>
    <w:rsid w:val="009C4808"/>
    <w:rsid w:val="009C4C67"/>
    <w:rsid w:val="009D0A07"/>
    <w:rsid w:val="009D30C8"/>
    <w:rsid w:val="009D3B52"/>
    <w:rsid w:val="009D4428"/>
    <w:rsid w:val="009D47A6"/>
    <w:rsid w:val="009D5783"/>
    <w:rsid w:val="009D5CB9"/>
    <w:rsid w:val="009D78CC"/>
    <w:rsid w:val="009E0690"/>
    <w:rsid w:val="009E0A8B"/>
    <w:rsid w:val="009E0D4D"/>
    <w:rsid w:val="009E0F56"/>
    <w:rsid w:val="009E231D"/>
    <w:rsid w:val="009E373B"/>
    <w:rsid w:val="009E4272"/>
    <w:rsid w:val="009E4721"/>
    <w:rsid w:val="009E5170"/>
    <w:rsid w:val="009E6296"/>
    <w:rsid w:val="009E6C45"/>
    <w:rsid w:val="009E734B"/>
    <w:rsid w:val="009F0344"/>
    <w:rsid w:val="009F3E80"/>
    <w:rsid w:val="009F494B"/>
    <w:rsid w:val="009F4AAB"/>
    <w:rsid w:val="009F5345"/>
    <w:rsid w:val="009F5F83"/>
    <w:rsid w:val="009F669A"/>
    <w:rsid w:val="009F699F"/>
    <w:rsid w:val="009F7612"/>
    <w:rsid w:val="00A021AF"/>
    <w:rsid w:val="00A03F5A"/>
    <w:rsid w:val="00A0454B"/>
    <w:rsid w:val="00A04968"/>
    <w:rsid w:val="00A0682A"/>
    <w:rsid w:val="00A069D3"/>
    <w:rsid w:val="00A070B5"/>
    <w:rsid w:val="00A07AFA"/>
    <w:rsid w:val="00A07BC7"/>
    <w:rsid w:val="00A07E96"/>
    <w:rsid w:val="00A10384"/>
    <w:rsid w:val="00A10E5E"/>
    <w:rsid w:val="00A111A4"/>
    <w:rsid w:val="00A112B9"/>
    <w:rsid w:val="00A1200C"/>
    <w:rsid w:val="00A128B5"/>
    <w:rsid w:val="00A12EA6"/>
    <w:rsid w:val="00A1471D"/>
    <w:rsid w:val="00A15488"/>
    <w:rsid w:val="00A15D24"/>
    <w:rsid w:val="00A17AD1"/>
    <w:rsid w:val="00A205D8"/>
    <w:rsid w:val="00A215B0"/>
    <w:rsid w:val="00A2496B"/>
    <w:rsid w:val="00A26322"/>
    <w:rsid w:val="00A2677D"/>
    <w:rsid w:val="00A27DE1"/>
    <w:rsid w:val="00A307BD"/>
    <w:rsid w:val="00A33E22"/>
    <w:rsid w:val="00A35147"/>
    <w:rsid w:val="00A36B54"/>
    <w:rsid w:val="00A36E80"/>
    <w:rsid w:val="00A40E90"/>
    <w:rsid w:val="00A4129B"/>
    <w:rsid w:val="00A41C62"/>
    <w:rsid w:val="00A42456"/>
    <w:rsid w:val="00A44FFD"/>
    <w:rsid w:val="00A4590A"/>
    <w:rsid w:val="00A45CD6"/>
    <w:rsid w:val="00A471B4"/>
    <w:rsid w:val="00A50314"/>
    <w:rsid w:val="00A51080"/>
    <w:rsid w:val="00A51E8D"/>
    <w:rsid w:val="00A555D6"/>
    <w:rsid w:val="00A55644"/>
    <w:rsid w:val="00A55B42"/>
    <w:rsid w:val="00A56E35"/>
    <w:rsid w:val="00A572D1"/>
    <w:rsid w:val="00A64E39"/>
    <w:rsid w:val="00A65C88"/>
    <w:rsid w:val="00A65E20"/>
    <w:rsid w:val="00A677A0"/>
    <w:rsid w:val="00A67A5E"/>
    <w:rsid w:val="00A67C62"/>
    <w:rsid w:val="00A7106F"/>
    <w:rsid w:val="00A714FD"/>
    <w:rsid w:val="00A71772"/>
    <w:rsid w:val="00A720FD"/>
    <w:rsid w:val="00A73100"/>
    <w:rsid w:val="00A732F0"/>
    <w:rsid w:val="00A73993"/>
    <w:rsid w:val="00A73F55"/>
    <w:rsid w:val="00A765CA"/>
    <w:rsid w:val="00A77BFD"/>
    <w:rsid w:val="00A80491"/>
    <w:rsid w:val="00A80916"/>
    <w:rsid w:val="00A82748"/>
    <w:rsid w:val="00A82AE7"/>
    <w:rsid w:val="00A83117"/>
    <w:rsid w:val="00A8370A"/>
    <w:rsid w:val="00A83738"/>
    <w:rsid w:val="00A842D7"/>
    <w:rsid w:val="00A84645"/>
    <w:rsid w:val="00A84C16"/>
    <w:rsid w:val="00A85282"/>
    <w:rsid w:val="00A85EE4"/>
    <w:rsid w:val="00A86034"/>
    <w:rsid w:val="00A877B8"/>
    <w:rsid w:val="00A9031E"/>
    <w:rsid w:val="00A90669"/>
    <w:rsid w:val="00A92AEB"/>
    <w:rsid w:val="00A9494C"/>
    <w:rsid w:val="00A96D99"/>
    <w:rsid w:val="00A97510"/>
    <w:rsid w:val="00AA0966"/>
    <w:rsid w:val="00AA09E0"/>
    <w:rsid w:val="00AA45C9"/>
    <w:rsid w:val="00AA512D"/>
    <w:rsid w:val="00AA61A8"/>
    <w:rsid w:val="00AA6FE9"/>
    <w:rsid w:val="00AA7168"/>
    <w:rsid w:val="00AA7705"/>
    <w:rsid w:val="00AA7710"/>
    <w:rsid w:val="00AA7EBE"/>
    <w:rsid w:val="00AB0458"/>
    <w:rsid w:val="00AB0648"/>
    <w:rsid w:val="00AB0EDA"/>
    <w:rsid w:val="00AB11BA"/>
    <w:rsid w:val="00AB1516"/>
    <w:rsid w:val="00AB1C97"/>
    <w:rsid w:val="00AB2F00"/>
    <w:rsid w:val="00AB32B9"/>
    <w:rsid w:val="00AB5BEA"/>
    <w:rsid w:val="00AB754F"/>
    <w:rsid w:val="00AC0139"/>
    <w:rsid w:val="00AC0EE7"/>
    <w:rsid w:val="00AC1363"/>
    <w:rsid w:val="00AC1783"/>
    <w:rsid w:val="00AC1A4D"/>
    <w:rsid w:val="00AC241E"/>
    <w:rsid w:val="00AC3852"/>
    <w:rsid w:val="00AC3C0E"/>
    <w:rsid w:val="00AC48B4"/>
    <w:rsid w:val="00AC4B6A"/>
    <w:rsid w:val="00AC74A4"/>
    <w:rsid w:val="00AC7ED3"/>
    <w:rsid w:val="00AD0203"/>
    <w:rsid w:val="00AD021F"/>
    <w:rsid w:val="00AD0F58"/>
    <w:rsid w:val="00AD1FA7"/>
    <w:rsid w:val="00AD3027"/>
    <w:rsid w:val="00AD31D8"/>
    <w:rsid w:val="00AD3C8A"/>
    <w:rsid w:val="00AD4A11"/>
    <w:rsid w:val="00AD6D1B"/>
    <w:rsid w:val="00AD7497"/>
    <w:rsid w:val="00AD78F9"/>
    <w:rsid w:val="00AE005B"/>
    <w:rsid w:val="00AE10ED"/>
    <w:rsid w:val="00AE2840"/>
    <w:rsid w:val="00AE2D68"/>
    <w:rsid w:val="00AE3FCD"/>
    <w:rsid w:val="00AE415B"/>
    <w:rsid w:val="00AE4B8C"/>
    <w:rsid w:val="00AE7347"/>
    <w:rsid w:val="00AE74EC"/>
    <w:rsid w:val="00AE7755"/>
    <w:rsid w:val="00AE7FC6"/>
    <w:rsid w:val="00AF23B0"/>
    <w:rsid w:val="00AF2DFB"/>
    <w:rsid w:val="00AF2F4E"/>
    <w:rsid w:val="00AF39FA"/>
    <w:rsid w:val="00AF3E7F"/>
    <w:rsid w:val="00AF4303"/>
    <w:rsid w:val="00AF5639"/>
    <w:rsid w:val="00AF57C2"/>
    <w:rsid w:val="00AF6196"/>
    <w:rsid w:val="00AF769E"/>
    <w:rsid w:val="00B00192"/>
    <w:rsid w:val="00B0322B"/>
    <w:rsid w:val="00B042AC"/>
    <w:rsid w:val="00B0476C"/>
    <w:rsid w:val="00B05269"/>
    <w:rsid w:val="00B0557F"/>
    <w:rsid w:val="00B05587"/>
    <w:rsid w:val="00B0583A"/>
    <w:rsid w:val="00B05C5D"/>
    <w:rsid w:val="00B06A4E"/>
    <w:rsid w:val="00B06CCA"/>
    <w:rsid w:val="00B06DAB"/>
    <w:rsid w:val="00B0725B"/>
    <w:rsid w:val="00B121ED"/>
    <w:rsid w:val="00B13FEE"/>
    <w:rsid w:val="00B14626"/>
    <w:rsid w:val="00B15432"/>
    <w:rsid w:val="00B16644"/>
    <w:rsid w:val="00B1688D"/>
    <w:rsid w:val="00B16C76"/>
    <w:rsid w:val="00B17953"/>
    <w:rsid w:val="00B17B61"/>
    <w:rsid w:val="00B17E4A"/>
    <w:rsid w:val="00B21109"/>
    <w:rsid w:val="00B2211F"/>
    <w:rsid w:val="00B2324C"/>
    <w:rsid w:val="00B2367E"/>
    <w:rsid w:val="00B23785"/>
    <w:rsid w:val="00B23FA2"/>
    <w:rsid w:val="00B25459"/>
    <w:rsid w:val="00B2561A"/>
    <w:rsid w:val="00B25912"/>
    <w:rsid w:val="00B277EB"/>
    <w:rsid w:val="00B317E7"/>
    <w:rsid w:val="00B3218C"/>
    <w:rsid w:val="00B32ECC"/>
    <w:rsid w:val="00B33472"/>
    <w:rsid w:val="00B33C00"/>
    <w:rsid w:val="00B344AD"/>
    <w:rsid w:val="00B34F17"/>
    <w:rsid w:val="00B35B0E"/>
    <w:rsid w:val="00B367EA"/>
    <w:rsid w:val="00B37F6E"/>
    <w:rsid w:val="00B4014E"/>
    <w:rsid w:val="00B4067F"/>
    <w:rsid w:val="00B40F2F"/>
    <w:rsid w:val="00B4115D"/>
    <w:rsid w:val="00B41DEF"/>
    <w:rsid w:val="00B43EF4"/>
    <w:rsid w:val="00B44EB4"/>
    <w:rsid w:val="00B44F04"/>
    <w:rsid w:val="00B5109C"/>
    <w:rsid w:val="00B51CE5"/>
    <w:rsid w:val="00B5573E"/>
    <w:rsid w:val="00B564C3"/>
    <w:rsid w:val="00B567CB"/>
    <w:rsid w:val="00B57311"/>
    <w:rsid w:val="00B57F7D"/>
    <w:rsid w:val="00B60C09"/>
    <w:rsid w:val="00B626BA"/>
    <w:rsid w:val="00B63761"/>
    <w:rsid w:val="00B64891"/>
    <w:rsid w:val="00B64E91"/>
    <w:rsid w:val="00B65BF7"/>
    <w:rsid w:val="00B65D3D"/>
    <w:rsid w:val="00B665B3"/>
    <w:rsid w:val="00B711B8"/>
    <w:rsid w:val="00B7240D"/>
    <w:rsid w:val="00B729FB"/>
    <w:rsid w:val="00B72ACE"/>
    <w:rsid w:val="00B73029"/>
    <w:rsid w:val="00B7392A"/>
    <w:rsid w:val="00B73AD6"/>
    <w:rsid w:val="00B73F65"/>
    <w:rsid w:val="00B74A2B"/>
    <w:rsid w:val="00B80751"/>
    <w:rsid w:val="00B80957"/>
    <w:rsid w:val="00B80F36"/>
    <w:rsid w:val="00B81AEB"/>
    <w:rsid w:val="00B82B29"/>
    <w:rsid w:val="00B8333A"/>
    <w:rsid w:val="00B840BC"/>
    <w:rsid w:val="00B84DA6"/>
    <w:rsid w:val="00B85680"/>
    <w:rsid w:val="00B85F55"/>
    <w:rsid w:val="00B8706A"/>
    <w:rsid w:val="00B87955"/>
    <w:rsid w:val="00B91ADD"/>
    <w:rsid w:val="00B93B9E"/>
    <w:rsid w:val="00B94348"/>
    <w:rsid w:val="00B94783"/>
    <w:rsid w:val="00B97064"/>
    <w:rsid w:val="00B97D36"/>
    <w:rsid w:val="00BA1908"/>
    <w:rsid w:val="00BA1E4D"/>
    <w:rsid w:val="00BA3A16"/>
    <w:rsid w:val="00BA5EE9"/>
    <w:rsid w:val="00BA767E"/>
    <w:rsid w:val="00BA7E99"/>
    <w:rsid w:val="00BB04E0"/>
    <w:rsid w:val="00BB1480"/>
    <w:rsid w:val="00BB33EC"/>
    <w:rsid w:val="00BB3836"/>
    <w:rsid w:val="00BB3EEB"/>
    <w:rsid w:val="00BB5083"/>
    <w:rsid w:val="00BB5CD8"/>
    <w:rsid w:val="00BB5CE0"/>
    <w:rsid w:val="00BB64F2"/>
    <w:rsid w:val="00BB6B31"/>
    <w:rsid w:val="00BB78C4"/>
    <w:rsid w:val="00BB79C7"/>
    <w:rsid w:val="00BB7AB2"/>
    <w:rsid w:val="00BC004F"/>
    <w:rsid w:val="00BC11F8"/>
    <w:rsid w:val="00BC1258"/>
    <w:rsid w:val="00BC2C7A"/>
    <w:rsid w:val="00BC3348"/>
    <w:rsid w:val="00BC3BCD"/>
    <w:rsid w:val="00BC6A89"/>
    <w:rsid w:val="00BC7DED"/>
    <w:rsid w:val="00BC7FC5"/>
    <w:rsid w:val="00BD079F"/>
    <w:rsid w:val="00BD1036"/>
    <w:rsid w:val="00BD1666"/>
    <w:rsid w:val="00BD1FF7"/>
    <w:rsid w:val="00BD23BA"/>
    <w:rsid w:val="00BD2B09"/>
    <w:rsid w:val="00BD3689"/>
    <w:rsid w:val="00BD5C98"/>
    <w:rsid w:val="00BD64B5"/>
    <w:rsid w:val="00BD6B56"/>
    <w:rsid w:val="00BD7C03"/>
    <w:rsid w:val="00BE049C"/>
    <w:rsid w:val="00BE221F"/>
    <w:rsid w:val="00BE5049"/>
    <w:rsid w:val="00BF0CA2"/>
    <w:rsid w:val="00BF1524"/>
    <w:rsid w:val="00BF1BE7"/>
    <w:rsid w:val="00BF2B8C"/>
    <w:rsid w:val="00BF2DE2"/>
    <w:rsid w:val="00BF3297"/>
    <w:rsid w:val="00BF3C27"/>
    <w:rsid w:val="00BF51E0"/>
    <w:rsid w:val="00BF5240"/>
    <w:rsid w:val="00BF5CC9"/>
    <w:rsid w:val="00BF67FE"/>
    <w:rsid w:val="00BF6A1A"/>
    <w:rsid w:val="00BF7328"/>
    <w:rsid w:val="00C00FA7"/>
    <w:rsid w:val="00C01D73"/>
    <w:rsid w:val="00C01F8E"/>
    <w:rsid w:val="00C0355A"/>
    <w:rsid w:val="00C03D9E"/>
    <w:rsid w:val="00C0537B"/>
    <w:rsid w:val="00C06628"/>
    <w:rsid w:val="00C0664B"/>
    <w:rsid w:val="00C07A38"/>
    <w:rsid w:val="00C115F9"/>
    <w:rsid w:val="00C11A0D"/>
    <w:rsid w:val="00C11D3B"/>
    <w:rsid w:val="00C120A9"/>
    <w:rsid w:val="00C130E4"/>
    <w:rsid w:val="00C13E16"/>
    <w:rsid w:val="00C15A07"/>
    <w:rsid w:val="00C1722C"/>
    <w:rsid w:val="00C204C2"/>
    <w:rsid w:val="00C220B9"/>
    <w:rsid w:val="00C23CFC"/>
    <w:rsid w:val="00C23DF0"/>
    <w:rsid w:val="00C23F2D"/>
    <w:rsid w:val="00C25651"/>
    <w:rsid w:val="00C27AF9"/>
    <w:rsid w:val="00C3184B"/>
    <w:rsid w:val="00C31A76"/>
    <w:rsid w:val="00C31D94"/>
    <w:rsid w:val="00C321FF"/>
    <w:rsid w:val="00C32E87"/>
    <w:rsid w:val="00C33FD4"/>
    <w:rsid w:val="00C34068"/>
    <w:rsid w:val="00C357F7"/>
    <w:rsid w:val="00C359C1"/>
    <w:rsid w:val="00C3663E"/>
    <w:rsid w:val="00C37B08"/>
    <w:rsid w:val="00C37E39"/>
    <w:rsid w:val="00C407A1"/>
    <w:rsid w:val="00C41AA1"/>
    <w:rsid w:val="00C42B40"/>
    <w:rsid w:val="00C444B3"/>
    <w:rsid w:val="00C4453E"/>
    <w:rsid w:val="00C46B40"/>
    <w:rsid w:val="00C46C9E"/>
    <w:rsid w:val="00C54D80"/>
    <w:rsid w:val="00C5582B"/>
    <w:rsid w:val="00C56E6F"/>
    <w:rsid w:val="00C579C7"/>
    <w:rsid w:val="00C61E11"/>
    <w:rsid w:val="00C6321C"/>
    <w:rsid w:val="00C637FC"/>
    <w:rsid w:val="00C63F4F"/>
    <w:rsid w:val="00C66515"/>
    <w:rsid w:val="00C71212"/>
    <w:rsid w:val="00C7375D"/>
    <w:rsid w:val="00C7514E"/>
    <w:rsid w:val="00C75E45"/>
    <w:rsid w:val="00C76A45"/>
    <w:rsid w:val="00C77A2D"/>
    <w:rsid w:val="00C81ED1"/>
    <w:rsid w:val="00C82145"/>
    <w:rsid w:val="00C82468"/>
    <w:rsid w:val="00C8265C"/>
    <w:rsid w:val="00C82D7F"/>
    <w:rsid w:val="00C83F90"/>
    <w:rsid w:val="00C845DC"/>
    <w:rsid w:val="00C84A4B"/>
    <w:rsid w:val="00C85CAC"/>
    <w:rsid w:val="00C86667"/>
    <w:rsid w:val="00C87056"/>
    <w:rsid w:val="00C915AC"/>
    <w:rsid w:val="00C916AF"/>
    <w:rsid w:val="00C91AE9"/>
    <w:rsid w:val="00C9233C"/>
    <w:rsid w:val="00C9315C"/>
    <w:rsid w:val="00C94820"/>
    <w:rsid w:val="00C95364"/>
    <w:rsid w:val="00C960D7"/>
    <w:rsid w:val="00C96119"/>
    <w:rsid w:val="00CA05D2"/>
    <w:rsid w:val="00CA06C4"/>
    <w:rsid w:val="00CA15CB"/>
    <w:rsid w:val="00CA3565"/>
    <w:rsid w:val="00CA48B3"/>
    <w:rsid w:val="00CA4A10"/>
    <w:rsid w:val="00CA4D59"/>
    <w:rsid w:val="00CA53B4"/>
    <w:rsid w:val="00CA6CD1"/>
    <w:rsid w:val="00CB2ACC"/>
    <w:rsid w:val="00CB340A"/>
    <w:rsid w:val="00CB427F"/>
    <w:rsid w:val="00CB510A"/>
    <w:rsid w:val="00CB5EDF"/>
    <w:rsid w:val="00CB6ED9"/>
    <w:rsid w:val="00CB7EA0"/>
    <w:rsid w:val="00CB7F41"/>
    <w:rsid w:val="00CC05CF"/>
    <w:rsid w:val="00CC0650"/>
    <w:rsid w:val="00CC0D27"/>
    <w:rsid w:val="00CC137D"/>
    <w:rsid w:val="00CC2724"/>
    <w:rsid w:val="00CC2F8F"/>
    <w:rsid w:val="00CC3EC7"/>
    <w:rsid w:val="00CC424D"/>
    <w:rsid w:val="00CC5955"/>
    <w:rsid w:val="00CC61F6"/>
    <w:rsid w:val="00CC714D"/>
    <w:rsid w:val="00CC7D2F"/>
    <w:rsid w:val="00CD1628"/>
    <w:rsid w:val="00CD18B4"/>
    <w:rsid w:val="00CD2E89"/>
    <w:rsid w:val="00CD5527"/>
    <w:rsid w:val="00CD5C7A"/>
    <w:rsid w:val="00CD5E92"/>
    <w:rsid w:val="00CD7D13"/>
    <w:rsid w:val="00CD7EA6"/>
    <w:rsid w:val="00CE2D0A"/>
    <w:rsid w:val="00CE2D25"/>
    <w:rsid w:val="00CE6BA6"/>
    <w:rsid w:val="00CE6BC2"/>
    <w:rsid w:val="00CE78E2"/>
    <w:rsid w:val="00CE7F96"/>
    <w:rsid w:val="00CF07D1"/>
    <w:rsid w:val="00CF100F"/>
    <w:rsid w:val="00CF21E5"/>
    <w:rsid w:val="00CF5E13"/>
    <w:rsid w:val="00CF630B"/>
    <w:rsid w:val="00CF74CB"/>
    <w:rsid w:val="00CF7A16"/>
    <w:rsid w:val="00D014B9"/>
    <w:rsid w:val="00D01931"/>
    <w:rsid w:val="00D01F5C"/>
    <w:rsid w:val="00D028E9"/>
    <w:rsid w:val="00D05E2E"/>
    <w:rsid w:val="00D1030D"/>
    <w:rsid w:val="00D10AB4"/>
    <w:rsid w:val="00D10B5B"/>
    <w:rsid w:val="00D118E2"/>
    <w:rsid w:val="00D12C8B"/>
    <w:rsid w:val="00D12D5A"/>
    <w:rsid w:val="00D14E0F"/>
    <w:rsid w:val="00D17DB6"/>
    <w:rsid w:val="00D21099"/>
    <w:rsid w:val="00D21500"/>
    <w:rsid w:val="00D228C7"/>
    <w:rsid w:val="00D2692E"/>
    <w:rsid w:val="00D30E55"/>
    <w:rsid w:val="00D31391"/>
    <w:rsid w:val="00D3302D"/>
    <w:rsid w:val="00D33B4C"/>
    <w:rsid w:val="00D342C7"/>
    <w:rsid w:val="00D34FA1"/>
    <w:rsid w:val="00D350F2"/>
    <w:rsid w:val="00D35730"/>
    <w:rsid w:val="00D36846"/>
    <w:rsid w:val="00D36FD5"/>
    <w:rsid w:val="00D37B75"/>
    <w:rsid w:val="00D4058A"/>
    <w:rsid w:val="00D407DA"/>
    <w:rsid w:val="00D409CD"/>
    <w:rsid w:val="00D40DAE"/>
    <w:rsid w:val="00D419DC"/>
    <w:rsid w:val="00D427D0"/>
    <w:rsid w:val="00D43043"/>
    <w:rsid w:val="00D43966"/>
    <w:rsid w:val="00D43A32"/>
    <w:rsid w:val="00D43DD2"/>
    <w:rsid w:val="00D44ABD"/>
    <w:rsid w:val="00D44CCA"/>
    <w:rsid w:val="00D4532C"/>
    <w:rsid w:val="00D45AD3"/>
    <w:rsid w:val="00D45BE6"/>
    <w:rsid w:val="00D468E1"/>
    <w:rsid w:val="00D46C1B"/>
    <w:rsid w:val="00D47F4F"/>
    <w:rsid w:val="00D51A0C"/>
    <w:rsid w:val="00D51B53"/>
    <w:rsid w:val="00D51B7C"/>
    <w:rsid w:val="00D53DB5"/>
    <w:rsid w:val="00D56C8A"/>
    <w:rsid w:val="00D56D7E"/>
    <w:rsid w:val="00D57882"/>
    <w:rsid w:val="00D57AE7"/>
    <w:rsid w:val="00D602B1"/>
    <w:rsid w:val="00D61D52"/>
    <w:rsid w:val="00D63307"/>
    <w:rsid w:val="00D63F01"/>
    <w:rsid w:val="00D645F6"/>
    <w:rsid w:val="00D6494E"/>
    <w:rsid w:val="00D65159"/>
    <w:rsid w:val="00D659B1"/>
    <w:rsid w:val="00D67171"/>
    <w:rsid w:val="00D67980"/>
    <w:rsid w:val="00D67B4F"/>
    <w:rsid w:val="00D67B6C"/>
    <w:rsid w:val="00D71755"/>
    <w:rsid w:val="00D72155"/>
    <w:rsid w:val="00D72FAC"/>
    <w:rsid w:val="00D73299"/>
    <w:rsid w:val="00D75B9A"/>
    <w:rsid w:val="00D76980"/>
    <w:rsid w:val="00D777AD"/>
    <w:rsid w:val="00D8052C"/>
    <w:rsid w:val="00D810A7"/>
    <w:rsid w:val="00D82E59"/>
    <w:rsid w:val="00D83540"/>
    <w:rsid w:val="00D84DDE"/>
    <w:rsid w:val="00D85524"/>
    <w:rsid w:val="00D87869"/>
    <w:rsid w:val="00D87F96"/>
    <w:rsid w:val="00D90BF6"/>
    <w:rsid w:val="00D90FCA"/>
    <w:rsid w:val="00D919A3"/>
    <w:rsid w:val="00D91D34"/>
    <w:rsid w:val="00D9227E"/>
    <w:rsid w:val="00D92846"/>
    <w:rsid w:val="00D92967"/>
    <w:rsid w:val="00D938EE"/>
    <w:rsid w:val="00D93F6B"/>
    <w:rsid w:val="00D94288"/>
    <w:rsid w:val="00D94C24"/>
    <w:rsid w:val="00D95733"/>
    <w:rsid w:val="00D961CF"/>
    <w:rsid w:val="00DA0A4F"/>
    <w:rsid w:val="00DA19AB"/>
    <w:rsid w:val="00DA22D7"/>
    <w:rsid w:val="00DA3603"/>
    <w:rsid w:val="00DA3A19"/>
    <w:rsid w:val="00DA3BE5"/>
    <w:rsid w:val="00DA559F"/>
    <w:rsid w:val="00DB1311"/>
    <w:rsid w:val="00DB2E6A"/>
    <w:rsid w:val="00DB3245"/>
    <w:rsid w:val="00DB351F"/>
    <w:rsid w:val="00DB4282"/>
    <w:rsid w:val="00DB479A"/>
    <w:rsid w:val="00DB4C58"/>
    <w:rsid w:val="00DC07AD"/>
    <w:rsid w:val="00DC088F"/>
    <w:rsid w:val="00DC1A9E"/>
    <w:rsid w:val="00DC2276"/>
    <w:rsid w:val="00DC2680"/>
    <w:rsid w:val="00DC302C"/>
    <w:rsid w:val="00DC3BBE"/>
    <w:rsid w:val="00DC47FB"/>
    <w:rsid w:val="00DC48B9"/>
    <w:rsid w:val="00DC5CD3"/>
    <w:rsid w:val="00DC5DE2"/>
    <w:rsid w:val="00DC613B"/>
    <w:rsid w:val="00DC7243"/>
    <w:rsid w:val="00DD2121"/>
    <w:rsid w:val="00DD5545"/>
    <w:rsid w:val="00DD71F9"/>
    <w:rsid w:val="00DD7887"/>
    <w:rsid w:val="00DD7994"/>
    <w:rsid w:val="00DE0C49"/>
    <w:rsid w:val="00DE1B1A"/>
    <w:rsid w:val="00DE35BC"/>
    <w:rsid w:val="00DE6100"/>
    <w:rsid w:val="00DE7963"/>
    <w:rsid w:val="00DE7C5B"/>
    <w:rsid w:val="00DF0AF3"/>
    <w:rsid w:val="00DF13DC"/>
    <w:rsid w:val="00DF175C"/>
    <w:rsid w:val="00DF1A9C"/>
    <w:rsid w:val="00DF23AC"/>
    <w:rsid w:val="00DF2EB0"/>
    <w:rsid w:val="00DF3100"/>
    <w:rsid w:val="00DF45C1"/>
    <w:rsid w:val="00DF5A01"/>
    <w:rsid w:val="00DF62EF"/>
    <w:rsid w:val="00DF6809"/>
    <w:rsid w:val="00DF6B84"/>
    <w:rsid w:val="00DF78DB"/>
    <w:rsid w:val="00DF7BC7"/>
    <w:rsid w:val="00DF7E52"/>
    <w:rsid w:val="00E003B5"/>
    <w:rsid w:val="00E01877"/>
    <w:rsid w:val="00E0215C"/>
    <w:rsid w:val="00E02536"/>
    <w:rsid w:val="00E0271D"/>
    <w:rsid w:val="00E031E9"/>
    <w:rsid w:val="00E06D49"/>
    <w:rsid w:val="00E0788D"/>
    <w:rsid w:val="00E10198"/>
    <w:rsid w:val="00E1072F"/>
    <w:rsid w:val="00E1080A"/>
    <w:rsid w:val="00E10B40"/>
    <w:rsid w:val="00E10BA8"/>
    <w:rsid w:val="00E13B23"/>
    <w:rsid w:val="00E148A6"/>
    <w:rsid w:val="00E14C46"/>
    <w:rsid w:val="00E1581C"/>
    <w:rsid w:val="00E15DD4"/>
    <w:rsid w:val="00E15EE4"/>
    <w:rsid w:val="00E1687F"/>
    <w:rsid w:val="00E168A8"/>
    <w:rsid w:val="00E17D35"/>
    <w:rsid w:val="00E20F45"/>
    <w:rsid w:val="00E214B9"/>
    <w:rsid w:val="00E23790"/>
    <w:rsid w:val="00E271AF"/>
    <w:rsid w:val="00E32C93"/>
    <w:rsid w:val="00E33869"/>
    <w:rsid w:val="00E33943"/>
    <w:rsid w:val="00E3478E"/>
    <w:rsid w:val="00E3578E"/>
    <w:rsid w:val="00E3615C"/>
    <w:rsid w:val="00E361FA"/>
    <w:rsid w:val="00E36980"/>
    <w:rsid w:val="00E37331"/>
    <w:rsid w:val="00E37F6B"/>
    <w:rsid w:val="00E40CEE"/>
    <w:rsid w:val="00E458C9"/>
    <w:rsid w:val="00E46F35"/>
    <w:rsid w:val="00E47A10"/>
    <w:rsid w:val="00E50215"/>
    <w:rsid w:val="00E52454"/>
    <w:rsid w:val="00E53D89"/>
    <w:rsid w:val="00E54CF9"/>
    <w:rsid w:val="00E56912"/>
    <w:rsid w:val="00E6141D"/>
    <w:rsid w:val="00E617F9"/>
    <w:rsid w:val="00E61BB6"/>
    <w:rsid w:val="00E62487"/>
    <w:rsid w:val="00E62ED6"/>
    <w:rsid w:val="00E63BA8"/>
    <w:rsid w:val="00E70B81"/>
    <w:rsid w:val="00E711BD"/>
    <w:rsid w:val="00E71851"/>
    <w:rsid w:val="00E71885"/>
    <w:rsid w:val="00E7268D"/>
    <w:rsid w:val="00E73022"/>
    <w:rsid w:val="00E73871"/>
    <w:rsid w:val="00E7548C"/>
    <w:rsid w:val="00E75F2D"/>
    <w:rsid w:val="00E76333"/>
    <w:rsid w:val="00E7677D"/>
    <w:rsid w:val="00E77256"/>
    <w:rsid w:val="00E77924"/>
    <w:rsid w:val="00E77B14"/>
    <w:rsid w:val="00E81A8F"/>
    <w:rsid w:val="00E8221A"/>
    <w:rsid w:val="00E86AFA"/>
    <w:rsid w:val="00E9118E"/>
    <w:rsid w:val="00E92394"/>
    <w:rsid w:val="00E9369D"/>
    <w:rsid w:val="00E9369F"/>
    <w:rsid w:val="00E9613F"/>
    <w:rsid w:val="00E967B2"/>
    <w:rsid w:val="00E97B4D"/>
    <w:rsid w:val="00EA190A"/>
    <w:rsid w:val="00EA3040"/>
    <w:rsid w:val="00EA42F0"/>
    <w:rsid w:val="00EA4968"/>
    <w:rsid w:val="00EA79AC"/>
    <w:rsid w:val="00EA7D2B"/>
    <w:rsid w:val="00EB07A1"/>
    <w:rsid w:val="00EB1A09"/>
    <w:rsid w:val="00EB20C8"/>
    <w:rsid w:val="00EB304C"/>
    <w:rsid w:val="00EB3790"/>
    <w:rsid w:val="00EB4A1B"/>
    <w:rsid w:val="00EB4F7A"/>
    <w:rsid w:val="00EB57FF"/>
    <w:rsid w:val="00EB79DD"/>
    <w:rsid w:val="00EC04E7"/>
    <w:rsid w:val="00EC36F1"/>
    <w:rsid w:val="00EC69AA"/>
    <w:rsid w:val="00EC784F"/>
    <w:rsid w:val="00EC7969"/>
    <w:rsid w:val="00ED11AC"/>
    <w:rsid w:val="00ED1346"/>
    <w:rsid w:val="00ED33BA"/>
    <w:rsid w:val="00ED59E4"/>
    <w:rsid w:val="00ED6802"/>
    <w:rsid w:val="00EE0EFE"/>
    <w:rsid w:val="00EE25F6"/>
    <w:rsid w:val="00EE3864"/>
    <w:rsid w:val="00EE3EEB"/>
    <w:rsid w:val="00EE4857"/>
    <w:rsid w:val="00EE5FD7"/>
    <w:rsid w:val="00EE7C7E"/>
    <w:rsid w:val="00EF12C6"/>
    <w:rsid w:val="00EF1922"/>
    <w:rsid w:val="00EF1BC9"/>
    <w:rsid w:val="00EF281A"/>
    <w:rsid w:val="00EF3321"/>
    <w:rsid w:val="00EF3B99"/>
    <w:rsid w:val="00EF475D"/>
    <w:rsid w:val="00EF48DC"/>
    <w:rsid w:val="00F0042E"/>
    <w:rsid w:val="00F007EE"/>
    <w:rsid w:val="00F015AE"/>
    <w:rsid w:val="00F0204A"/>
    <w:rsid w:val="00F0302B"/>
    <w:rsid w:val="00F06320"/>
    <w:rsid w:val="00F065C2"/>
    <w:rsid w:val="00F07356"/>
    <w:rsid w:val="00F078DD"/>
    <w:rsid w:val="00F11C31"/>
    <w:rsid w:val="00F1351C"/>
    <w:rsid w:val="00F13E6C"/>
    <w:rsid w:val="00F14594"/>
    <w:rsid w:val="00F14C4F"/>
    <w:rsid w:val="00F150E6"/>
    <w:rsid w:val="00F154D3"/>
    <w:rsid w:val="00F16D55"/>
    <w:rsid w:val="00F171E4"/>
    <w:rsid w:val="00F2087F"/>
    <w:rsid w:val="00F2116D"/>
    <w:rsid w:val="00F2411B"/>
    <w:rsid w:val="00F25B7F"/>
    <w:rsid w:val="00F30B4F"/>
    <w:rsid w:val="00F3189E"/>
    <w:rsid w:val="00F32257"/>
    <w:rsid w:val="00F32FC9"/>
    <w:rsid w:val="00F3396A"/>
    <w:rsid w:val="00F34073"/>
    <w:rsid w:val="00F344F8"/>
    <w:rsid w:val="00F34DF2"/>
    <w:rsid w:val="00F36374"/>
    <w:rsid w:val="00F37DED"/>
    <w:rsid w:val="00F405F7"/>
    <w:rsid w:val="00F40F98"/>
    <w:rsid w:val="00F41239"/>
    <w:rsid w:val="00F41F7F"/>
    <w:rsid w:val="00F42315"/>
    <w:rsid w:val="00F43952"/>
    <w:rsid w:val="00F447B4"/>
    <w:rsid w:val="00F4489B"/>
    <w:rsid w:val="00F51202"/>
    <w:rsid w:val="00F51EFA"/>
    <w:rsid w:val="00F52F78"/>
    <w:rsid w:val="00F530B0"/>
    <w:rsid w:val="00F5404B"/>
    <w:rsid w:val="00F54536"/>
    <w:rsid w:val="00F55C38"/>
    <w:rsid w:val="00F56E3F"/>
    <w:rsid w:val="00F57570"/>
    <w:rsid w:val="00F57599"/>
    <w:rsid w:val="00F57754"/>
    <w:rsid w:val="00F57BF0"/>
    <w:rsid w:val="00F57D73"/>
    <w:rsid w:val="00F63B72"/>
    <w:rsid w:val="00F64348"/>
    <w:rsid w:val="00F6507D"/>
    <w:rsid w:val="00F652E9"/>
    <w:rsid w:val="00F67C58"/>
    <w:rsid w:val="00F67E2E"/>
    <w:rsid w:val="00F70743"/>
    <w:rsid w:val="00F73811"/>
    <w:rsid w:val="00F73EEA"/>
    <w:rsid w:val="00F745C7"/>
    <w:rsid w:val="00F7582D"/>
    <w:rsid w:val="00F75A97"/>
    <w:rsid w:val="00F75B22"/>
    <w:rsid w:val="00F75B9E"/>
    <w:rsid w:val="00F82D5D"/>
    <w:rsid w:val="00F832E0"/>
    <w:rsid w:val="00F8528D"/>
    <w:rsid w:val="00F855FA"/>
    <w:rsid w:val="00F85F7A"/>
    <w:rsid w:val="00F87593"/>
    <w:rsid w:val="00F90088"/>
    <w:rsid w:val="00F90CF5"/>
    <w:rsid w:val="00F915C0"/>
    <w:rsid w:val="00F91B00"/>
    <w:rsid w:val="00F92CC7"/>
    <w:rsid w:val="00F92F29"/>
    <w:rsid w:val="00F939AE"/>
    <w:rsid w:val="00F93E0F"/>
    <w:rsid w:val="00F94840"/>
    <w:rsid w:val="00FA0139"/>
    <w:rsid w:val="00FA0140"/>
    <w:rsid w:val="00FA151A"/>
    <w:rsid w:val="00FA2CAB"/>
    <w:rsid w:val="00FA3DF5"/>
    <w:rsid w:val="00FA4B6E"/>
    <w:rsid w:val="00FA6BD1"/>
    <w:rsid w:val="00FA6DF4"/>
    <w:rsid w:val="00FB1C86"/>
    <w:rsid w:val="00FB2973"/>
    <w:rsid w:val="00FB44CC"/>
    <w:rsid w:val="00FB5440"/>
    <w:rsid w:val="00FB5680"/>
    <w:rsid w:val="00FB5A22"/>
    <w:rsid w:val="00FB672D"/>
    <w:rsid w:val="00FB6E77"/>
    <w:rsid w:val="00FB7071"/>
    <w:rsid w:val="00FB78FE"/>
    <w:rsid w:val="00FC2AFF"/>
    <w:rsid w:val="00FC33B8"/>
    <w:rsid w:val="00FC3A43"/>
    <w:rsid w:val="00FC5165"/>
    <w:rsid w:val="00FC5E62"/>
    <w:rsid w:val="00FC6247"/>
    <w:rsid w:val="00FC627B"/>
    <w:rsid w:val="00FC66C1"/>
    <w:rsid w:val="00FC73BB"/>
    <w:rsid w:val="00FD12E8"/>
    <w:rsid w:val="00FD2368"/>
    <w:rsid w:val="00FD23B1"/>
    <w:rsid w:val="00FD3E6F"/>
    <w:rsid w:val="00FD4597"/>
    <w:rsid w:val="00FD4BD2"/>
    <w:rsid w:val="00FD679D"/>
    <w:rsid w:val="00FD71EF"/>
    <w:rsid w:val="00FE1E82"/>
    <w:rsid w:val="00FE25E5"/>
    <w:rsid w:val="00FE36FB"/>
    <w:rsid w:val="00FE3736"/>
    <w:rsid w:val="00FE3D65"/>
    <w:rsid w:val="00FE40A0"/>
    <w:rsid w:val="00FE66E4"/>
    <w:rsid w:val="00FE75BF"/>
    <w:rsid w:val="00FE78F3"/>
    <w:rsid w:val="00FF0588"/>
    <w:rsid w:val="00FF0AE6"/>
    <w:rsid w:val="00FF1ABC"/>
    <w:rsid w:val="00FF248A"/>
    <w:rsid w:val="00FF3142"/>
    <w:rsid w:val="00FF3268"/>
    <w:rsid w:val="00FF48AA"/>
    <w:rsid w:val="00FF54DA"/>
    <w:rsid w:val="00FF5E90"/>
    <w:rsid w:val="00FF6182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329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F6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F545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с отступом Знак Знак"/>
    <w:basedOn w:val="a"/>
    <w:rsid w:val="0072677F"/>
    <w:pPr>
      <w:ind w:firstLine="567"/>
      <w:jc w:val="both"/>
    </w:pPr>
  </w:style>
  <w:style w:type="paragraph" w:styleId="21">
    <w:name w:val="Body Text Indent 2"/>
    <w:basedOn w:val="a"/>
    <w:rsid w:val="0072677F"/>
    <w:pPr>
      <w:spacing w:line="228" w:lineRule="auto"/>
      <w:ind w:firstLine="540"/>
      <w:jc w:val="both"/>
    </w:pPr>
    <w:rPr>
      <w:snapToGrid w:val="0"/>
    </w:rPr>
  </w:style>
  <w:style w:type="paragraph" w:customStyle="1" w:styleId="210">
    <w:name w:val="Основной текст 21"/>
    <w:aliases w:val="Îñíîâíîé òåêñò 1"/>
    <w:basedOn w:val="a"/>
    <w:rsid w:val="0072677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4">
    <w:name w:val="Body Text"/>
    <w:basedOn w:val="a"/>
    <w:rsid w:val="0072677F"/>
    <w:pPr>
      <w:jc w:val="center"/>
    </w:pPr>
    <w:rPr>
      <w:sz w:val="28"/>
      <w:szCs w:val="20"/>
    </w:rPr>
  </w:style>
  <w:style w:type="paragraph" w:customStyle="1" w:styleId="11">
    <w:name w:val="Текст1"/>
    <w:basedOn w:val="a"/>
    <w:rsid w:val="0072677F"/>
    <w:rPr>
      <w:rFonts w:ascii="Courier New" w:hAnsi="Courier New"/>
      <w:sz w:val="20"/>
      <w:szCs w:val="20"/>
    </w:rPr>
  </w:style>
  <w:style w:type="paragraph" w:styleId="a5">
    <w:name w:val="header"/>
    <w:aliases w:val="ВерхКолонтитул"/>
    <w:basedOn w:val="a"/>
    <w:link w:val="a6"/>
    <w:uiPriority w:val="99"/>
    <w:rsid w:val="0072677F"/>
    <w:pPr>
      <w:tabs>
        <w:tab w:val="center" w:pos="4677"/>
        <w:tab w:val="right" w:pos="9355"/>
      </w:tabs>
      <w:ind w:firstLine="567"/>
      <w:jc w:val="both"/>
    </w:pPr>
  </w:style>
  <w:style w:type="paragraph" w:styleId="30">
    <w:name w:val="Body Text Indent 3"/>
    <w:basedOn w:val="a"/>
    <w:link w:val="31"/>
    <w:rsid w:val="0072677F"/>
    <w:pPr>
      <w:ind w:firstLine="720"/>
      <w:jc w:val="both"/>
    </w:pPr>
    <w:rPr>
      <w:i/>
      <w:iCs/>
      <w:sz w:val="26"/>
    </w:rPr>
  </w:style>
  <w:style w:type="paragraph" w:styleId="a7">
    <w:name w:val="Normal (Web)"/>
    <w:basedOn w:val="a"/>
    <w:link w:val="a8"/>
    <w:uiPriority w:val="99"/>
    <w:rsid w:val="0072677F"/>
    <w:pPr>
      <w:spacing w:before="100" w:beforeAutospacing="1" w:after="100" w:afterAutospacing="1"/>
    </w:pPr>
    <w:rPr>
      <w:rFonts w:ascii="Arial Unicode MS" w:eastAsia="Arial Unicode MS" w:hAnsi="Arial Unicode MS"/>
      <w:color w:val="003053"/>
    </w:rPr>
  </w:style>
  <w:style w:type="paragraph" w:customStyle="1" w:styleId="211">
    <w:name w:val="Основной текст с отступом 21"/>
    <w:basedOn w:val="a"/>
    <w:rsid w:val="0072677F"/>
    <w:pPr>
      <w:ind w:firstLine="720"/>
      <w:jc w:val="both"/>
    </w:pPr>
    <w:rPr>
      <w:szCs w:val="20"/>
    </w:rPr>
  </w:style>
  <w:style w:type="paragraph" w:styleId="a9">
    <w:name w:val="footer"/>
    <w:basedOn w:val="a"/>
    <w:rsid w:val="0072677F"/>
    <w:pPr>
      <w:tabs>
        <w:tab w:val="center" w:pos="4677"/>
        <w:tab w:val="right" w:pos="9355"/>
      </w:tabs>
    </w:pPr>
    <w:rPr>
      <w:szCs w:val="20"/>
    </w:rPr>
  </w:style>
  <w:style w:type="character" w:customStyle="1" w:styleId="FontStyle34">
    <w:name w:val="Font Style34"/>
    <w:rsid w:val="0072677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72677F"/>
  </w:style>
  <w:style w:type="paragraph" w:styleId="22">
    <w:name w:val="Body Text 2"/>
    <w:basedOn w:val="a"/>
    <w:link w:val="23"/>
    <w:rsid w:val="0072677F"/>
    <w:pPr>
      <w:spacing w:after="120" w:line="480" w:lineRule="auto"/>
    </w:pPr>
  </w:style>
  <w:style w:type="table" w:styleId="ab">
    <w:name w:val="Table Grid"/>
    <w:basedOn w:val="a1"/>
    <w:rsid w:val="006B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8520CF"/>
    <w:rPr>
      <w:rFonts w:ascii="Courier New" w:hAnsi="Courier New"/>
      <w:sz w:val="20"/>
      <w:szCs w:val="20"/>
    </w:rPr>
  </w:style>
  <w:style w:type="paragraph" w:customStyle="1" w:styleId="content">
    <w:name w:val="content"/>
    <w:basedOn w:val="a"/>
    <w:rsid w:val="006C34BF"/>
    <w:pPr>
      <w:spacing w:before="100" w:beforeAutospacing="1" w:after="100" w:afterAutospacing="1" w:line="312" w:lineRule="auto"/>
      <w:ind w:firstLine="240"/>
    </w:pPr>
    <w:rPr>
      <w:rFonts w:ascii="Arial" w:hAnsi="Arial" w:cs="Arial"/>
      <w:color w:val="666666"/>
      <w:sz w:val="15"/>
      <w:szCs w:val="15"/>
    </w:rPr>
  </w:style>
  <w:style w:type="paragraph" w:styleId="ad">
    <w:name w:val="Balloon Text"/>
    <w:basedOn w:val="a"/>
    <w:semiHidden/>
    <w:rsid w:val="007453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C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D21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E4DD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E4DDD"/>
    <w:rPr>
      <w:sz w:val="16"/>
      <w:szCs w:val="16"/>
    </w:rPr>
  </w:style>
  <w:style w:type="character" w:customStyle="1" w:styleId="a8">
    <w:name w:val="Обычный (веб) Знак"/>
    <w:link w:val="a7"/>
    <w:locked/>
    <w:rsid w:val="0085123F"/>
    <w:rPr>
      <w:rFonts w:ascii="Arial Unicode MS" w:eastAsia="Arial Unicode MS" w:hAnsi="Arial Unicode MS"/>
      <w:color w:val="003053"/>
      <w:sz w:val="24"/>
      <w:szCs w:val="24"/>
    </w:rPr>
  </w:style>
  <w:style w:type="character" w:customStyle="1" w:styleId="Bodytext">
    <w:name w:val="Body text_"/>
    <w:link w:val="12"/>
    <w:uiPriority w:val="99"/>
    <w:rsid w:val="00B833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8333A"/>
    <w:pPr>
      <w:shd w:val="clear" w:color="auto" w:fill="FFFFFF"/>
      <w:spacing w:before="240" w:line="278" w:lineRule="exact"/>
      <w:ind w:firstLine="840"/>
      <w:jc w:val="both"/>
    </w:pPr>
    <w:rPr>
      <w:sz w:val="23"/>
      <w:szCs w:val="23"/>
    </w:rPr>
  </w:style>
  <w:style w:type="paragraph" w:customStyle="1" w:styleId="main">
    <w:name w:val="main"/>
    <w:basedOn w:val="a"/>
    <w:rsid w:val="00BF6A1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464A9"/>
    <w:pPr>
      <w:ind w:left="720"/>
      <w:contextualSpacing/>
    </w:pPr>
  </w:style>
  <w:style w:type="paragraph" w:customStyle="1" w:styleId="24">
    <w:name w:val="Основной текст2"/>
    <w:basedOn w:val="a"/>
    <w:uiPriority w:val="99"/>
    <w:rsid w:val="004464A9"/>
    <w:pPr>
      <w:shd w:val="clear" w:color="auto" w:fill="FFFFFF"/>
      <w:spacing w:after="4440" w:line="252" w:lineRule="exact"/>
      <w:jc w:val="center"/>
    </w:pPr>
    <w:rPr>
      <w:rFonts w:ascii="Arial" w:eastAsia="Calibri" w:hAnsi="Arial"/>
      <w:sz w:val="22"/>
      <w:szCs w:val="22"/>
      <w:lang w:eastAsia="en-US"/>
    </w:rPr>
  </w:style>
  <w:style w:type="character" w:styleId="af">
    <w:name w:val="Hyperlink"/>
    <w:uiPriority w:val="99"/>
    <w:rsid w:val="00495DCE"/>
    <w:rPr>
      <w:color w:val="0000FF"/>
      <w:u w:val="single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rsid w:val="008600F5"/>
    <w:rPr>
      <w:sz w:val="24"/>
      <w:szCs w:val="24"/>
    </w:rPr>
  </w:style>
  <w:style w:type="paragraph" w:customStyle="1" w:styleId="af0">
    <w:name w:val="Знак"/>
    <w:basedOn w:val="a"/>
    <w:rsid w:val="008570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1381"/>
    <w:rPr>
      <w:b/>
      <w:bCs/>
      <w:sz w:val="24"/>
      <w:szCs w:val="24"/>
    </w:rPr>
  </w:style>
  <w:style w:type="paragraph" w:customStyle="1" w:styleId="Default">
    <w:name w:val="Default"/>
    <w:rsid w:val="000905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1"/>
    <w:basedOn w:val="a"/>
    <w:rsid w:val="00BB78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F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FollowedHyperlink"/>
    <w:basedOn w:val="a0"/>
    <w:uiPriority w:val="99"/>
    <w:unhideWhenUsed/>
    <w:rsid w:val="009F699F"/>
    <w:rPr>
      <w:color w:val="800080"/>
      <w:u w:val="single"/>
    </w:rPr>
  </w:style>
  <w:style w:type="paragraph" w:customStyle="1" w:styleId="xl65">
    <w:name w:val="xl65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9F6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3">
    <w:name w:val="Основной текст 2 Знак"/>
    <w:basedOn w:val="a0"/>
    <w:link w:val="22"/>
    <w:rsid w:val="00D12D5A"/>
    <w:rPr>
      <w:sz w:val="24"/>
      <w:szCs w:val="24"/>
    </w:rPr>
  </w:style>
  <w:style w:type="paragraph" w:customStyle="1" w:styleId="ConsPlusNormal">
    <w:name w:val="ConsPlusNormal"/>
    <w:rsid w:val="000913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4">
    <w:name w:val="Обычный1"/>
    <w:rsid w:val="000C09C1"/>
    <w:pPr>
      <w:widowControl w:val="0"/>
    </w:pPr>
    <w:rPr>
      <w:snapToGrid w:val="0"/>
    </w:rPr>
  </w:style>
  <w:style w:type="character" w:customStyle="1" w:styleId="31">
    <w:name w:val="Основной текст с отступом 3 Знак"/>
    <w:basedOn w:val="a0"/>
    <w:link w:val="30"/>
    <w:rsid w:val="00930FE0"/>
    <w:rPr>
      <w:i/>
      <w:i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2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329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F69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26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F545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Основной текст с отступом Знак Знак"/>
    <w:basedOn w:val="a"/>
    <w:rsid w:val="0072677F"/>
    <w:pPr>
      <w:ind w:firstLine="567"/>
      <w:jc w:val="both"/>
    </w:pPr>
  </w:style>
  <w:style w:type="paragraph" w:styleId="21">
    <w:name w:val="Body Text Indent 2"/>
    <w:basedOn w:val="a"/>
    <w:rsid w:val="0072677F"/>
    <w:pPr>
      <w:spacing w:line="228" w:lineRule="auto"/>
      <w:ind w:firstLine="540"/>
      <w:jc w:val="both"/>
    </w:pPr>
    <w:rPr>
      <w:snapToGrid w:val="0"/>
    </w:rPr>
  </w:style>
  <w:style w:type="paragraph" w:customStyle="1" w:styleId="210">
    <w:name w:val="Основной текст 21"/>
    <w:aliases w:val="Îñíîâíîé òåêñò 1"/>
    <w:basedOn w:val="a"/>
    <w:rsid w:val="0072677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4">
    <w:name w:val="Body Text"/>
    <w:basedOn w:val="a"/>
    <w:rsid w:val="0072677F"/>
    <w:pPr>
      <w:jc w:val="center"/>
    </w:pPr>
    <w:rPr>
      <w:sz w:val="28"/>
      <w:szCs w:val="20"/>
    </w:rPr>
  </w:style>
  <w:style w:type="paragraph" w:customStyle="1" w:styleId="11">
    <w:name w:val="Текст1"/>
    <w:basedOn w:val="a"/>
    <w:rsid w:val="0072677F"/>
    <w:rPr>
      <w:rFonts w:ascii="Courier New" w:hAnsi="Courier New"/>
      <w:sz w:val="20"/>
      <w:szCs w:val="20"/>
    </w:rPr>
  </w:style>
  <w:style w:type="paragraph" w:styleId="a5">
    <w:name w:val="header"/>
    <w:aliases w:val="ВерхКолонтитул"/>
    <w:basedOn w:val="a"/>
    <w:link w:val="a6"/>
    <w:uiPriority w:val="99"/>
    <w:rsid w:val="0072677F"/>
    <w:pPr>
      <w:tabs>
        <w:tab w:val="center" w:pos="4677"/>
        <w:tab w:val="right" w:pos="9355"/>
      </w:tabs>
      <w:ind w:firstLine="567"/>
      <w:jc w:val="both"/>
    </w:pPr>
  </w:style>
  <w:style w:type="paragraph" w:styleId="30">
    <w:name w:val="Body Text Indent 3"/>
    <w:basedOn w:val="a"/>
    <w:link w:val="31"/>
    <w:rsid w:val="0072677F"/>
    <w:pPr>
      <w:ind w:firstLine="720"/>
      <w:jc w:val="both"/>
    </w:pPr>
    <w:rPr>
      <w:i/>
      <w:iCs/>
      <w:sz w:val="26"/>
    </w:rPr>
  </w:style>
  <w:style w:type="paragraph" w:styleId="a7">
    <w:name w:val="Normal (Web)"/>
    <w:basedOn w:val="a"/>
    <w:link w:val="a8"/>
    <w:uiPriority w:val="99"/>
    <w:rsid w:val="0072677F"/>
    <w:pPr>
      <w:spacing w:before="100" w:beforeAutospacing="1" w:after="100" w:afterAutospacing="1"/>
    </w:pPr>
    <w:rPr>
      <w:rFonts w:ascii="Arial Unicode MS" w:eastAsia="Arial Unicode MS" w:hAnsi="Arial Unicode MS"/>
      <w:color w:val="003053"/>
    </w:rPr>
  </w:style>
  <w:style w:type="paragraph" w:customStyle="1" w:styleId="211">
    <w:name w:val="Основной текст с отступом 21"/>
    <w:basedOn w:val="a"/>
    <w:rsid w:val="0072677F"/>
    <w:pPr>
      <w:ind w:firstLine="720"/>
      <w:jc w:val="both"/>
    </w:pPr>
    <w:rPr>
      <w:szCs w:val="20"/>
    </w:rPr>
  </w:style>
  <w:style w:type="paragraph" w:styleId="a9">
    <w:name w:val="footer"/>
    <w:basedOn w:val="a"/>
    <w:rsid w:val="0072677F"/>
    <w:pPr>
      <w:tabs>
        <w:tab w:val="center" w:pos="4677"/>
        <w:tab w:val="right" w:pos="9355"/>
      </w:tabs>
    </w:pPr>
    <w:rPr>
      <w:szCs w:val="20"/>
    </w:rPr>
  </w:style>
  <w:style w:type="character" w:customStyle="1" w:styleId="FontStyle34">
    <w:name w:val="Font Style34"/>
    <w:rsid w:val="0072677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72677F"/>
  </w:style>
  <w:style w:type="paragraph" w:styleId="22">
    <w:name w:val="Body Text 2"/>
    <w:basedOn w:val="a"/>
    <w:link w:val="23"/>
    <w:rsid w:val="0072677F"/>
    <w:pPr>
      <w:spacing w:after="120" w:line="480" w:lineRule="auto"/>
    </w:pPr>
  </w:style>
  <w:style w:type="table" w:styleId="ab">
    <w:name w:val="Table Grid"/>
    <w:basedOn w:val="a1"/>
    <w:rsid w:val="006B5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rsid w:val="008520CF"/>
    <w:rPr>
      <w:rFonts w:ascii="Courier New" w:hAnsi="Courier New"/>
      <w:sz w:val="20"/>
      <w:szCs w:val="20"/>
    </w:rPr>
  </w:style>
  <w:style w:type="paragraph" w:customStyle="1" w:styleId="content">
    <w:name w:val="content"/>
    <w:basedOn w:val="a"/>
    <w:rsid w:val="006C34BF"/>
    <w:pPr>
      <w:spacing w:before="100" w:beforeAutospacing="1" w:after="100" w:afterAutospacing="1" w:line="312" w:lineRule="auto"/>
      <w:ind w:firstLine="240"/>
    </w:pPr>
    <w:rPr>
      <w:rFonts w:ascii="Arial" w:hAnsi="Arial" w:cs="Arial"/>
      <w:color w:val="666666"/>
      <w:sz w:val="15"/>
      <w:szCs w:val="15"/>
    </w:rPr>
  </w:style>
  <w:style w:type="paragraph" w:styleId="ad">
    <w:name w:val="Balloon Text"/>
    <w:basedOn w:val="a"/>
    <w:semiHidden/>
    <w:rsid w:val="007453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C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D21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E4DD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E4DDD"/>
    <w:rPr>
      <w:sz w:val="16"/>
      <w:szCs w:val="16"/>
    </w:rPr>
  </w:style>
  <w:style w:type="character" w:customStyle="1" w:styleId="a8">
    <w:name w:val="Обычный (веб) Знак"/>
    <w:link w:val="a7"/>
    <w:locked/>
    <w:rsid w:val="0085123F"/>
    <w:rPr>
      <w:rFonts w:ascii="Arial Unicode MS" w:eastAsia="Arial Unicode MS" w:hAnsi="Arial Unicode MS"/>
      <w:color w:val="003053"/>
      <w:sz w:val="24"/>
      <w:szCs w:val="24"/>
    </w:rPr>
  </w:style>
  <w:style w:type="character" w:customStyle="1" w:styleId="Bodytext">
    <w:name w:val="Body text_"/>
    <w:link w:val="12"/>
    <w:uiPriority w:val="99"/>
    <w:rsid w:val="00B833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8333A"/>
    <w:pPr>
      <w:shd w:val="clear" w:color="auto" w:fill="FFFFFF"/>
      <w:spacing w:before="240" w:line="278" w:lineRule="exact"/>
      <w:ind w:firstLine="840"/>
      <w:jc w:val="both"/>
    </w:pPr>
    <w:rPr>
      <w:sz w:val="23"/>
      <w:szCs w:val="23"/>
    </w:rPr>
  </w:style>
  <w:style w:type="paragraph" w:customStyle="1" w:styleId="main">
    <w:name w:val="main"/>
    <w:basedOn w:val="a"/>
    <w:rsid w:val="00BF6A1A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464A9"/>
    <w:pPr>
      <w:ind w:left="720"/>
      <w:contextualSpacing/>
    </w:pPr>
  </w:style>
  <w:style w:type="paragraph" w:customStyle="1" w:styleId="24">
    <w:name w:val="Основной текст2"/>
    <w:basedOn w:val="a"/>
    <w:uiPriority w:val="99"/>
    <w:rsid w:val="004464A9"/>
    <w:pPr>
      <w:shd w:val="clear" w:color="auto" w:fill="FFFFFF"/>
      <w:spacing w:after="4440" w:line="252" w:lineRule="exact"/>
      <w:jc w:val="center"/>
    </w:pPr>
    <w:rPr>
      <w:rFonts w:ascii="Arial" w:eastAsia="Calibri" w:hAnsi="Arial"/>
      <w:sz w:val="22"/>
      <w:szCs w:val="22"/>
      <w:lang w:eastAsia="en-US"/>
    </w:rPr>
  </w:style>
  <w:style w:type="character" w:styleId="af">
    <w:name w:val="Hyperlink"/>
    <w:uiPriority w:val="99"/>
    <w:rsid w:val="00495DCE"/>
    <w:rPr>
      <w:color w:val="0000FF"/>
      <w:u w:val="single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rsid w:val="008600F5"/>
    <w:rPr>
      <w:sz w:val="24"/>
      <w:szCs w:val="24"/>
    </w:rPr>
  </w:style>
  <w:style w:type="paragraph" w:customStyle="1" w:styleId="af0">
    <w:name w:val="Знак"/>
    <w:basedOn w:val="a"/>
    <w:rsid w:val="008570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550C5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71381"/>
    <w:rPr>
      <w:b/>
      <w:bCs/>
      <w:sz w:val="24"/>
      <w:szCs w:val="24"/>
    </w:rPr>
  </w:style>
  <w:style w:type="paragraph" w:customStyle="1" w:styleId="Default">
    <w:name w:val="Default"/>
    <w:rsid w:val="000905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нак1"/>
    <w:basedOn w:val="a"/>
    <w:rsid w:val="00BB78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9F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FollowedHyperlink"/>
    <w:basedOn w:val="a0"/>
    <w:uiPriority w:val="99"/>
    <w:unhideWhenUsed/>
    <w:rsid w:val="009F699F"/>
    <w:rPr>
      <w:color w:val="800080"/>
      <w:u w:val="single"/>
    </w:rPr>
  </w:style>
  <w:style w:type="paragraph" w:customStyle="1" w:styleId="xl65">
    <w:name w:val="xl65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9F6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9F6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F6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3">
    <w:name w:val="Основной текст 2 Знак"/>
    <w:basedOn w:val="a0"/>
    <w:link w:val="22"/>
    <w:rsid w:val="00D12D5A"/>
    <w:rPr>
      <w:sz w:val="24"/>
      <w:szCs w:val="24"/>
    </w:rPr>
  </w:style>
  <w:style w:type="paragraph" w:customStyle="1" w:styleId="ConsPlusNormal">
    <w:name w:val="ConsPlusNormal"/>
    <w:rsid w:val="000913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4">
    <w:name w:val="Обычный1"/>
    <w:rsid w:val="000C09C1"/>
    <w:pPr>
      <w:widowControl w:val="0"/>
    </w:pPr>
    <w:rPr>
      <w:snapToGrid w:val="0"/>
    </w:rPr>
  </w:style>
  <w:style w:type="character" w:customStyle="1" w:styleId="31">
    <w:name w:val="Основной текст с отступом 3 Знак"/>
    <w:basedOn w:val="a0"/>
    <w:link w:val="30"/>
    <w:rsid w:val="00930FE0"/>
    <w:rPr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88602405960558"/>
          <c:y val="0.14156442339661199"/>
          <c:w val="0.8585070008346064"/>
          <c:h val="0.6687064014328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Sheet1!$A$2:$C$2</c:f>
              <c:strCache>
                <c:ptCount val="1"/>
                <c:pt idx="0">
                  <c:v>вариант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45204"/>
              </a:solidFill>
            </c:spPr>
          </c:dPt>
          <c:dPt>
            <c:idx val="1"/>
            <c:invertIfNegative val="0"/>
            <c:bubble3D val="0"/>
            <c:spPr>
              <a:solidFill>
                <a:srgbClr val="C45204"/>
              </a:solidFill>
            </c:spPr>
          </c:dPt>
          <c:dLbls>
            <c:dLbl>
              <c:idx val="2"/>
              <c:layout>
                <c:manualLayout>
                  <c:x val="-6.28180679932215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8787119954810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878711995481828E-3"/>
                  <c:y val="-4.2610571917754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878711995481056E-3"/>
                  <c:y val="-8.5221143835508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878711995481056E-3"/>
                  <c:y val="-8.5221143835508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Sheet1!$D$2:$H$2</c:f>
              <c:numCache>
                <c:formatCode>General</c:formatCode>
                <c:ptCount val="5"/>
                <c:pt idx="2">
                  <c:v>100.6</c:v>
                </c:pt>
                <c:pt idx="3">
                  <c:v>101.5</c:v>
                </c:pt>
                <c:pt idx="4" formatCode="0.0">
                  <c:v>102</c:v>
                </c:pt>
              </c:numCache>
            </c:numRef>
          </c:val>
        </c:ser>
        <c:ser>
          <c:idx val="1"/>
          <c:order val="1"/>
          <c:tx>
            <c:strRef>
              <c:f>Sheet1!$A$3:$C$3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2"/>
              <c:layout>
                <c:manualLayout>
                  <c:x val="6.28180679932215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8787119954810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87871199548182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69677998870264E-2"/>
                  <c:y val="-4.2610571917754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757423990962112E-3"/>
                  <c:y val="-4.26105719177542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Sheet1!$D$3:$H$3</c:f>
              <c:numCache>
                <c:formatCode>General</c:formatCode>
                <c:ptCount val="5"/>
                <c:pt idx="0">
                  <c:v>101.1</c:v>
                </c:pt>
                <c:pt idx="1">
                  <c:v>98.5</c:v>
                </c:pt>
                <c:pt idx="2">
                  <c:v>102.1</c:v>
                </c:pt>
                <c:pt idx="3" formatCode="0.0">
                  <c:v>102.6</c:v>
                </c:pt>
                <c:pt idx="4" formatCode="0.0">
                  <c:v>103</c:v>
                </c:pt>
              </c:numCache>
            </c:numRef>
          </c:val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2.558635394456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659685863874346E-2"/>
                  <c:y val="-2.98507462686567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753926701570603E-2"/>
                  <c:y val="-8.5287846481876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827225130890054E-3"/>
                  <c:y val="-4.6908315565031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42408376963353E-3"/>
                  <c:y val="-5.117270788912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6.3965884861407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56456064"/>
        <c:axId val="156457600"/>
      </c:barChart>
      <c:catAx>
        <c:axId val="15645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457600"/>
        <c:crossesAt val="70"/>
        <c:auto val="1"/>
        <c:lblAlgn val="ctr"/>
        <c:lblOffset val="100"/>
        <c:noMultiLvlLbl val="0"/>
      </c:catAx>
      <c:valAx>
        <c:axId val="156457600"/>
        <c:scaling>
          <c:orientation val="minMax"/>
          <c:max val="105"/>
          <c:min val="80"/>
        </c:scaling>
        <c:delete val="0"/>
        <c:axPos val="l"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456064"/>
        <c:crosses val="autoZero"/>
        <c:crossBetween val="between"/>
        <c:majorUnit val="5"/>
        <c:minorUnit val="5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9075631305095651"/>
          <c:y val="0.88994127274131807"/>
          <c:w val="0.40509380985755039"/>
          <c:h val="7.228024383615874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944291851910779E-2"/>
          <c:y val="0.13233779608650875"/>
          <c:w val="0.90545091159350211"/>
          <c:h val="0.608242578071150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вариант 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6.2878062603115483E-3"/>
                  <c:y val="1.6417290466251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3837416804153977E-3"/>
                  <c:y val="2.1889720621668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3837416804153977E-3"/>
                  <c:y val="1.0944860310834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918708402076989E-3"/>
                  <c:y val="5.4724301554170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2" formatCode="0.0">
                  <c:v>101</c:v>
                </c:pt>
                <c:pt idx="3">
                  <c:v>101.2</c:v>
                </c:pt>
                <c:pt idx="4" formatCode="0.0">
                  <c:v>102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вариант 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Pt>
            <c:idx val="1"/>
            <c:invertIfNegative val="0"/>
            <c:bubble3D val="0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Lbls>
            <c:dLbl>
              <c:idx val="2"/>
              <c:layout>
                <c:manualLayout>
                  <c:x val="1.46715479407269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9187084020769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959354201038494E-3"/>
                  <c:y val="5.4724301554170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8374168041539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105.7</c:v>
                </c:pt>
                <c:pt idx="1">
                  <c:v>89</c:v>
                </c:pt>
                <c:pt idx="2" formatCode="General">
                  <c:v>103.7</c:v>
                </c:pt>
                <c:pt idx="3">
                  <c:v>104.2</c:v>
                </c:pt>
                <c:pt idx="4">
                  <c:v>105.2</c:v>
                </c:pt>
              </c:numCache>
            </c:numRef>
          </c:val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4"/>
        <c:axId val="149998976"/>
        <c:axId val="150033536"/>
      </c:barChart>
      <c:catAx>
        <c:axId val="14999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033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033536"/>
        <c:scaling>
          <c:orientation val="minMax"/>
          <c:max val="110"/>
          <c:min val="5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9998976"/>
        <c:crosses val="autoZero"/>
        <c:crossBetween val="between"/>
        <c:majorUnit val="10"/>
        <c:minorUnit val="10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1643690318445206"/>
          <c:y val="0.85786647358735335"/>
          <c:w val="0.35241906069643203"/>
          <c:h val="0.1418910650297062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33932926525777"/>
          <c:y val="0.10789999934218748"/>
          <c:w val="0.57186680073330487"/>
          <c:h val="0.5205532370153381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4.3783229868462968E-2"/>
                  <c:y val="6.78294123689994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40,5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8924360734524E-2"/>
                  <c:y val="1.98312059817856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4</a:t>
                    </a:r>
                    <a:r>
                      <a:rPr lang="en-US"/>
                      <a:t>,6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813955632595109E-2"/>
                  <c:y val="-2.67958323391394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671215954556299"/>
                  <c:y val="-6.76483046871439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7,9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2622582013313912E-2"/>
                  <c:y val="-8.53266523502743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,0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2207458847819727E-2"/>
                  <c:y val="-3.2694316874844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Налог на доходы физических лиц</c:v>
                </c:pt>
                <c:pt idx="1">
                  <c:v>Налог на прибыль организаций</c:v>
                </c:pt>
                <c:pt idx="2">
                  <c:v>Акцизы</c:v>
                </c:pt>
                <c:pt idx="3">
                  <c:v>Налоги на имущество организаций</c:v>
                </c:pt>
                <c:pt idx="4">
                  <c:v>Налоги, взимаемые с применением УСН</c:v>
                </c:pt>
                <c:pt idx="5">
                  <c:v>Прочие налоги и сборы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40.5</c:v>
                </c:pt>
                <c:pt idx="1">
                  <c:v>24.6</c:v>
                </c:pt>
                <c:pt idx="2">
                  <c:v>13.4</c:v>
                </c:pt>
                <c:pt idx="3">
                  <c:v>7.9</c:v>
                </c:pt>
                <c:pt idx="4">
                  <c:v>8</c:v>
                </c:pt>
                <c:pt idx="5">
                  <c:v>5.6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Налог на доходы физических лиц</c:v>
                </c:pt>
                <c:pt idx="1">
                  <c:v>Налог на прибыль организаций</c:v>
                </c:pt>
                <c:pt idx="2">
                  <c:v>Акцизы</c:v>
                </c:pt>
                <c:pt idx="3">
                  <c:v>Налоги на имущество организаций</c:v>
                </c:pt>
                <c:pt idx="4">
                  <c:v>Налоги, взимаемые с применением УСН</c:v>
                </c:pt>
                <c:pt idx="5">
                  <c:v>Прочие налоги и сборы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6.6450344070245013E-2"/>
          <c:y val="0.6326667548395799"/>
          <c:w val="0.83829655144286952"/>
          <c:h val="0.36733342359982779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570763653536817"/>
          <c:y val="5.6030890249367242E-2"/>
          <c:w val="0.73493178052464103"/>
          <c:h val="0.6690921070916106"/>
        </c:manualLayout>
      </c:layout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4.781997187060468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36538461538460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129395218002812E-2"/>
                  <c:y val="-4.40700037200692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129395218002813E-3"/>
                  <c:y val="-3.36538461538461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6258790436006139E-3"/>
                  <c:y val="-3.84615384615384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6568435274704589E-2"/>
                  <c:y val="-3.8461538461538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755274261603373E-2"/>
                  <c:y val="-5.28849939430648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4388185654008432E-3"/>
                  <c:y val="-4.8076923076923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877637130801586E-2"/>
                  <c:y val="-1.44230769230769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Sheet1!$B$1:$J$1</c:f>
              <c:strCache>
                <c:ptCount val="9"/>
                <c:pt idx="0">
                  <c:v>образование</c:v>
                </c:pt>
                <c:pt idx="1">
                  <c:v>национальная экономика</c:v>
                </c:pt>
                <c:pt idx="2">
                  <c:v>социальная политика</c:v>
                </c:pt>
                <c:pt idx="3">
                  <c:v>здравоохранение</c:v>
                </c:pt>
                <c:pt idx="4">
                  <c:v>ЖКХ</c:v>
                </c:pt>
                <c:pt idx="5">
                  <c:v>общегосударственные вопросы</c:v>
                </c:pt>
                <c:pt idx="6">
                  <c:v>культура</c:v>
                </c:pt>
                <c:pt idx="7">
                  <c:v>физическая культура и спорт</c:v>
                </c:pt>
                <c:pt idx="8">
                  <c:v>прочие </c:v>
                </c:pt>
              </c:strCache>
            </c:strRef>
          </c:cat>
          <c:val>
            <c:numRef>
              <c:f>Sheet1!$B$2:$J$2</c:f>
              <c:numCache>
                <c:formatCode>0.0</c:formatCode>
                <c:ptCount val="9"/>
                <c:pt idx="0">
                  <c:v>32.4</c:v>
                </c:pt>
                <c:pt idx="1">
                  <c:v>19.399999999999999</c:v>
                </c:pt>
                <c:pt idx="2">
                  <c:v>22.6</c:v>
                </c:pt>
                <c:pt idx="3">
                  <c:v>7.4</c:v>
                </c:pt>
                <c:pt idx="4">
                  <c:v>4.0999999999999996</c:v>
                </c:pt>
                <c:pt idx="5">
                  <c:v>5.4</c:v>
                </c:pt>
                <c:pt idx="6">
                  <c:v>4.5999999999999996</c:v>
                </c:pt>
                <c:pt idx="7">
                  <c:v>1.9</c:v>
                </c:pt>
                <c:pt idx="8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5.4804257062803861E-2"/>
          <c:y val="0.72988605390672323"/>
          <c:w val="0.94238282444910215"/>
          <c:h val="0.26960629921259838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519077034230186E-2"/>
          <c:y val="5.9838940586972082E-2"/>
          <c:w val="0.91279309870534775"/>
          <c:h val="0.6162222619899785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6699FF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8085E6"/>
              </a:solidFill>
            </c:spPr>
          </c:dPt>
          <c:dPt>
            <c:idx val="1"/>
            <c:invertIfNegative val="0"/>
            <c:bubble3D val="0"/>
            <c:spPr>
              <a:solidFill>
                <a:srgbClr val="8085E6"/>
              </a:solidFill>
            </c:spPr>
          </c:dPt>
          <c:cat>
            <c:strRef>
              <c:f>Лист1!$B$1:$F$1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0"/>
          <c:order val="1"/>
          <c:tx>
            <c:strRef>
              <c:f>Лист1!$A$2</c:f>
              <c:strCache>
                <c:ptCount val="1"/>
                <c:pt idx="0">
                  <c:v>варинат 1</c:v>
                </c:pt>
              </c:strCache>
            </c:strRef>
          </c:tx>
          <c:spPr>
            <a:solidFill>
              <a:srgbClr val="CB716F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C0504D">
                  <a:lumMod val="40000"/>
                  <a:lumOff val="60000"/>
                </a:srgbClr>
              </a:solidFill>
            </c:spPr>
          </c:dPt>
          <c:dPt>
            <c:idx val="1"/>
            <c:invertIfNegative val="0"/>
            <c:bubble3D val="0"/>
            <c:spPr>
              <a:solidFill>
                <a:srgbClr val="C0504D">
                  <a:lumMod val="40000"/>
                  <a:lumOff val="60000"/>
                </a:srgbClr>
              </a:solidFill>
            </c:spPr>
          </c:dPt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 sz="9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5411770590156348E-3"/>
                  <c:y val="5.6921542425370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137017808205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53678812584864E-3"/>
                  <c:y val="5.66354146594878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1340942245557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721133938770757E-3"/>
                  <c:y val="5.6559411971675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Лист1!$B$2:$F$2</c:f>
              <c:numCache>
                <c:formatCode>0.0</c:formatCode>
                <c:ptCount val="5"/>
                <c:pt idx="0">
                  <c:v>104.2</c:v>
                </c:pt>
                <c:pt idx="1">
                  <c:v>98.2</c:v>
                </c:pt>
                <c:pt idx="2">
                  <c:v>100.9</c:v>
                </c:pt>
                <c:pt idx="3">
                  <c:v>100.6</c:v>
                </c:pt>
                <c:pt idx="4">
                  <c:v>101.2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варинат 2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9.4112923518004932E-3"/>
                  <c:y val="-1.1410685888491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0653526759508625E-3"/>
                  <c:y val="-4.738991122438988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204909377085972E-3"/>
                  <c:y val="-1.1411580037759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442602575875378E-3"/>
                  <c:y val="-1.7882985367707309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7243485158595453E-3"/>
                  <c:y val="5.6666709883881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101010101010102E-2"/>
                  <c:y val="1.1363188976377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2" formatCode="0.0">
                  <c:v>102.4</c:v>
                </c:pt>
                <c:pt idx="3" formatCode="0.0">
                  <c:v>102.8</c:v>
                </c:pt>
                <c:pt idx="4" formatCode="0.0">
                  <c:v>103.1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2"/>
        <c:axId val="150499712"/>
        <c:axId val="150501248"/>
      </c:barChart>
      <c:catAx>
        <c:axId val="15049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05012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0501248"/>
        <c:scaling>
          <c:orientation val="minMax"/>
          <c:max val="120"/>
          <c:min val="0"/>
        </c:scaling>
        <c:delete val="0"/>
        <c:axPos val="l"/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0499712"/>
        <c:crosses val="autoZero"/>
        <c:crossBetween val="between"/>
        <c:majorUnit val="20"/>
        <c:minorUnit val="4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32722022613668317"/>
          <c:y val="0.86944663044324888"/>
          <c:w val="0.41072888195830798"/>
          <c:h val="9.6442835310580441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79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38483377854852E-2"/>
          <c:y val="4.2777167304953935E-2"/>
          <c:w val="0.8401137081259975"/>
          <c:h val="0.674690927023059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вариант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399DA5"/>
              </a:solidFill>
            </c:spPr>
          </c:dPt>
          <c:dPt>
            <c:idx val="1"/>
            <c:invertIfNegative val="0"/>
            <c:bubble3D val="0"/>
            <c:spPr>
              <a:solidFill>
                <a:srgbClr val="399DA5"/>
              </a:solidFill>
            </c:spPr>
          </c:dPt>
          <c:dLbls>
            <c:dLbl>
              <c:idx val="0"/>
              <c:layout>
                <c:manualLayout>
                  <c:x val="3.2114341529259293E-3"/>
                  <c:y val="-1.7200936154556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507043212819577E-3"/>
                  <c:y val="-2.5096683158894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16085917749597E-3"/>
                  <c:y val="-1.5847461102461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4595889383279E-3"/>
                  <c:y val="-8.037878791364364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431365436595249E-4"/>
                  <c:y val="1.1308247042270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168644083003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752966124504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4.7</c:v>
                </c:pt>
                <c:pt idx="1">
                  <c:v>5.7</c:v>
                </c:pt>
                <c:pt idx="2">
                  <c:v>5.6</c:v>
                </c:pt>
                <c:pt idx="3">
                  <c:v>5.2</c:v>
                </c:pt>
                <c:pt idx="4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2.4573846925444111E-3"/>
                  <c:y val="1.620456232522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573675564510942E-3"/>
                  <c:y val="1.5322120178020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752966124504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0816326530612249E-3"/>
                  <c:y val="1.1695906432748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1632653061224497E-3"/>
                  <c:y val="5.36056185600841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2" formatCode="0.0">
                  <c:v>5.5</c:v>
                </c:pt>
                <c:pt idx="3" formatCode="0.0">
                  <c:v>5</c:v>
                </c:pt>
                <c:pt idx="4" formatCode="0.0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5955200"/>
        <c:axId val="155956736"/>
      </c:barChart>
      <c:catAx>
        <c:axId val="15595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956736"/>
        <c:crosses val="autoZero"/>
        <c:auto val="1"/>
        <c:lblAlgn val="ctr"/>
        <c:lblOffset val="100"/>
        <c:noMultiLvlLbl val="0"/>
      </c:catAx>
      <c:valAx>
        <c:axId val="155956736"/>
        <c:scaling>
          <c:orientation val="minMax"/>
          <c:max val="7"/>
          <c:min val="0"/>
        </c:scaling>
        <c:delete val="0"/>
        <c:axPos val="l"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955200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w="0"/>
        </a:sp3d>
      </c:spPr>
    </c:plotArea>
    <c:legend>
      <c:legendPos val="b"/>
      <c:layout>
        <c:manualLayout>
          <c:xMode val="edge"/>
          <c:yMode val="edge"/>
          <c:x val="0.29948233450006045"/>
          <c:y val="0.87204717606656923"/>
          <c:w val="0.39065386469548452"/>
          <c:h val="9.2841710160059682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280738338756362E-2"/>
          <c:y val="0.10652217448517363"/>
          <c:w val="0.90271923590778591"/>
          <c:h val="0.53995150709147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вариант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Lbls>
            <c:dLbl>
              <c:idx val="2"/>
              <c:layout>
                <c:manualLayout>
                  <c:x val="-6.8510438700365994E-3"/>
                  <c:y val="1.68174355257443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888607786842531E-3"/>
                  <c:y val="7.4658188646921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585917735012365E-2"/>
                  <c:y val="-8.9282772707804849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82206296602117E-2"/>
                  <c:y val="-1.1486560332303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62695547533083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2" formatCode="0.0">
                  <c:v>258</c:v>
                </c:pt>
                <c:pt idx="3" formatCode="0.0">
                  <c:v>270.8</c:v>
                </c:pt>
                <c:pt idx="4" formatCode="0.0">
                  <c:v>294.5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Lbls>
            <c:dLbl>
              <c:idx val="1"/>
              <c:layout>
                <c:manualLayout>
                  <c:x val="0"/>
                  <c:y val="4.1878711995481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3310106082327E-2"/>
                  <c:y val="-4.18787119954810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477845690523264E-3"/>
                  <c:y val="3.83883758633971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71083842678916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7108384267892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71083842678924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258.2</c:v>
                </c:pt>
                <c:pt idx="1">
                  <c:v>248</c:v>
                </c:pt>
                <c:pt idx="2">
                  <c:v>266</c:v>
                </c:pt>
                <c:pt idx="3">
                  <c:v>285</c:v>
                </c:pt>
                <c:pt idx="4">
                  <c:v>310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dLbls>
            <c:dLbl>
              <c:idx val="3"/>
              <c:layout>
                <c:manualLayout>
                  <c:x val="4.8134777376654635E-3"/>
                  <c:y val="-2.0920502092050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2202166064981961E-3"/>
                  <c:y val="-1.6736401673640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8246072431041203E-17"/>
                  <c:y val="-2.0920502092050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03369434416366E-2"/>
                  <c:y val="-2.92887029288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62695547533092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159380608"/>
        <c:axId val="159382144"/>
      </c:barChart>
      <c:catAx>
        <c:axId val="15938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382144"/>
        <c:crossesAt val="90"/>
        <c:auto val="1"/>
        <c:lblAlgn val="ctr"/>
        <c:lblOffset val="100"/>
        <c:noMultiLvlLbl val="0"/>
      </c:catAx>
      <c:valAx>
        <c:axId val="159382144"/>
        <c:scaling>
          <c:orientation val="minMax"/>
          <c:max val="320"/>
          <c:min val="18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380608"/>
        <c:crosses val="autoZero"/>
        <c:crossBetween val="between"/>
        <c:majorUnit val="20"/>
        <c:minorUnit val="20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8861237651220639"/>
          <c:y val="0.84563790108543258"/>
          <c:w val="0.44306830779726547"/>
          <c:h val="7.0979804302704841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4387847849031274E-2"/>
          <c:y val="6.4335406761505648E-2"/>
          <c:w val="0.90247966528936363"/>
          <c:h val="0.62169299733055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Sheet1!$A$2:$C$2</c:f>
              <c:strCache>
                <c:ptCount val="1"/>
                <c:pt idx="0">
                  <c:v>вариант 1</c:v>
                </c:pt>
              </c:strCache>
            </c:strRef>
          </c:tx>
          <c:spPr>
            <a:solidFill>
              <a:srgbClr val="C0504D">
                <a:lumMod val="40000"/>
                <a:lumOff val="6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</c:spPr>
          </c:dPt>
          <c:dPt>
            <c:idx val="1"/>
            <c:invertIfNegative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</c:spPr>
          </c:dPt>
          <c:dLbls>
            <c:dLbl>
              <c:idx val="0"/>
              <c:layout>
                <c:manualLayout>
                  <c:x val="0"/>
                  <c:y val="1.0209290454313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249622565830861E-3"/>
                  <c:y val="3.4277180852495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383538756571278E-3"/>
                  <c:y val="1.5262463032739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232139176320238E-3"/>
                  <c:y val="1.0732165941943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1461846065052617E-3"/>
                  <c:y val="1.0742239309638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471204188481676E-2"/>
                  <c:y val="8.5284488692644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884107835662727E-3"/>
                  <c:y val="7.516401983638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4.26439232409381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Sheet1!$D$2:$H$2</c:f>
              <c:numCache>
                <c:formatCode>General</c:formatCode>
                <c:ptCount val="5"/>
                <c:pt idx="2" formatCode="0.0">
                  <c:v>101</c:v>
                </c:pt>
                <c:pt idx="3" formatCode="0.0">
                  <c:v>101.2</c:v>
                </c:pt>
                <c:pt idx="4">
                  <c:v>101.3</c:v>
                </c:pt>
              </c:numCache>
            </c:numRef>
          </c:val>
        </c:ser>
        <c:ser>
          <c:idx val="1"/>
          <c:order val="1"/>
          <c:tx>
            <c:strRef>
              <c:f>Sheet1!$A$3:$C$3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8064A2">
                  <a:lumMod val="75000"/>
                </a:srgbClr>
              </a:solidFill>
            </c:spPr>
          </c:dPt>
          <c:dPt>
            <c:idx val="1"/>
            <c:invertIfNegative val="0"/>
            <c:bubble3D val="0"/>
            <c:spPr>
              <a:solidFill>
                <a:srgbClr val="8064A2">
                  <a:lumMod val="75000"/>
                </a:srgbClr>
              </a:solidFill>
            </c:spPr>
          </c:dPt>
          <c:dLbls>
            <c:dLbl>
              <c:idx val="0"/>
              <c:layout>
                <c:manualLayout>
                  <c:x val="-4.2896348118964213E-3"/>
                  <c:y val="-5.3725998457185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722628217789189E-3"/>
                  <c:y val="3.3415985617357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845322343428465E-3"/>
                  <c:y val="1.1017294861575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281405797050978E-4"/>
                  <c:y val="-3.270630288433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827225130890054E-3"/>
                  <c:y val="-4.26439232409381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7057569296375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Sheet1!$D$1:$H$1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Sheet1!$D$3:$H$3</c:f>
              <c:numCache>
                <c:formatCode>General</c:formatCode>
                <c:ptCount val="5"/>
                <c:pt idx="0">
                  <c:v>105.1</c:v>
                </c:pt>
                <c:pt idx="1">
                  <c:v>101.3</c:v>
                </c:pt>
                <c:pt idx="2" formatCode="0.0">
                  <c:v>103</c:v>
                </c:pt>
                <c:pt idx="3" formatCode="0.0">
                  <c:v>103.2</c:v>
                </c:pt>
                <c:pt idx="4">
                  <c:v>103.6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"/>
        <c:axId val="115853568"/>
        <c:axId val="116064256"/>
      </c:barChart>
      <c:catAx>
        <c:axId val="11585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064256"/>
        <c:crossesAt val="70"/>
        <c:auto val="1"/>
        <c:lblAlgn val="ctr"/>
        <c:lblOffset val="100"/>
        <c:noMultiLvlLbl val="0"/>
      </c:catAx>
      <c:valAx>
        <c:axId val="116064256"/>
        <c:scaling>
          <c:orientation val="minMax"/>
          <c:max val="110"/>
          <c:min val="9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853568"/>
        <c:crosses val="autoZero"/>
        <c:crossBetween val="between"/>
        <c:majorUnit val="5"/>
        <c:minorUnit val="5"/>
      </c:valAx>
    </c:plotArea>
    <c:legend>
      <c:legendPos val="b"/>
      <c:layout>
        <c:manualLayout>
          <c:xMode val="edge"/>
          <c:yMode val="edge"/>
          <c:x val="0.28866232834703781"/>
          <c:y val="0.83047004042726036"/>
          <c:w val="0.40509380985755039"/>
          <c:h val="7.2280243836158747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366615631379417E-2"/>
          <c:y val="0.16461636782385355"/>
          <c:w val="0.89934130829800119"/>
          <c:h val="0.58539396151639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вариант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0"/>
              <c:layout>
                <c:manualLayout>
                  <c:x val="4.62962962962962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167869641294838E-2"/>
                  <c:y val="-2.739547996733218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88888888888888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259259259259343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2592592592592587E-3"/>
                  <c:y val="-4.68898376799351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259259259259258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2" formatCode="#,##0.0">
                  <c:v>609.29999999999995</c:v>
                </c:pt>
                <c:pt idx="3" formatCode="#,##0.0">
                  <c:v>634.9</c:v>
                </c:pt>
                <c:pt idx="4" formatCode="#,##0.0">
                  <c:v>660.4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79646"/>
              </a:solidFill>
            </c:spPr>
          </c:dPt>
          <c:dPt>
            <c:idx val="1"/>
            <c:invertIfNegative val="0"/>
            <c:bubble3D val="0"/>
            <c:spPr>
              <a:solidFill>
                <a:srgbClr val="F79646"/>
              </a:solidFill>
            </c:spPr>
          </c:dPt>
          <c:dLbls>
            <c:dLbl>
              <c:idx val="2"/>
              <c:layout>
                <c:manualLayout>
                  <c:x val="4.6263487897346169E-3"/>
                  <c:y val="4.9020186998149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4.5933580360320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8077063283756194E-3"/>
                  <c:y val="4.7631952433766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342300962379703E-4"/>
                  <c:y val="9.48393118491727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928915135608051E-3"/>
                  <c:y val="9.46288613965935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735042735042739E-3"/>
                  <c:y val="-4.67836257309941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Лист1!$B$6:$F$6</c:f>
              <c:numCache>
                <c:formatCode>#,##0.0</c:formatCode>
                <c:ptCount val="5"/>
                <c:pt idx="0">
                  <c:v>656.4</c:v>
                </c:pt>
                <c:pt idx="1">
                  <c:v>650</c:v>
                </c:pt>
                <c:pt idx="2" formatCode="0.0">
                  <c:v>624</c:v>
                </c:pt>
                <c:pt idx="3" formatCode="0.0">
                  <c:v>655.20000000000005</c:v>
                </c:pt>
                <c:pt idx="4" formatCode="0.0">
                  <c:v>688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2"/>
        <c:axId val="116075520"/>
        <c:axId val="116077312"/>
      </c:barChart>
      <c:catAx>
        <c:axId val="11607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077312"/>
        <c:crosses val="autoZero"/>
        <c:auto val="1"/>
        <c:lblAlgn val="ctr"/>
        <c:lblOffset val="100"/>
        <c:noMultiLvlLbl val="0"/>
      </c:catAx>
      <c:valAx>
        <c:axId val="11607731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075520"/>
        <c:crosses val="autoZero"/>
        <c:crossBetween val="between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9978018372703413"/>
          <c:y val="0.92406820127575939"/>
          <c:w val="0.43825418500922714"/>
          <c:h val="7.5092428328491612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outerShdw blurRad="50800" dist="50800" dir="5400000" algn="ctr" rotWithShape="0">
        <a:schemeClr val="bg1"/>
      </a:outerShdw>
    </a:effectLst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472468127905177E-2"/>
          <c:y val="0.16644799005387484"/>
          <c:w val="0.87799129078619431"/>
          <c:h val="0.596414748567951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вариант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Lbls>
            <c:dLbl>
              <c:idx val="2"/>
              <c:layout>
                <c:manualLayout>
                  <c:x val="-1.4781793843339495E-2"/>
                  <c:y val="4.34679284564310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42840757935253E-2"/>
                  <c:y val="8.94461967236160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2840757935253E-2"/>
                  <c:y val="1.35420745968859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42840757935253E-2"/>
                  <c:y val="1.3793108577961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042840757935253E-2"/>
                  <c:y val="9.06957880960801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3793103448275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Лист1!$B$5:$F$5</c:f>
              <c:numCache>
                <c:formatCode>General</c:formatCode>
                <c:ptCount val="5"/>
                <c:pt idx="2" formatCode="#,##0.0">
                  <c:v>40.299999999999997</c:v>
                </c:pt>
                <c:pt idx="3" formatCode="#,##0.0">
                  <c:v>43.1</c:v>
                </c:pt>
                <c:pt idx="4" formatCode="#,##0.0">
                  <c:v>46.3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8064A2"/>
              </a:solidFill>
            </c:spPr>
          </c:dPt>
          <c:dPt>
            <c:idx val="1"/>
            <c:invertIfNegative val="0"/>
            <c:bubble3D val="0"/>
            <c:spPr>
              <a:solidFill>
                <a:srgbClr val="8064A2"/>
              </a:solidFill>
            </c:spPr>
          </c:dPt>
          <c:dLbls>
            <c:dLbl>
              <c:idx val="2"/>
              <c:layout>
                <c:manualLayout>
                  <c:x val="-4.1639885406255682E-3"/>
                  <c:y val="-1.47790212947477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27822623022024E-3"/>
                  <c:y val="-8.936809726283704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972143187983856E-3"/>
                  <c:y val="-4.59770114942528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258166152482708E-3"/>
                  <c:y val="-9.3213565950717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2537448689216694E-3"/>
                  <c:y val="-9.57164677175878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016806722689074E-3"/>
                  <c:y val="4.597701149425266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Лист1!$B$6:$F$6</c:f>
              <c:numCache>
                <c:formatCode>#,##0.0</c:formatCode>
                <c:ptCount val="5"/>
                <c:pt idx="0">
                  <c:v>35.4</c:v>
                </c:pt>
                <c:pt idx="1">
                  <c:v>37.5</c:v>
                </c:pt>
                <c:pt idx="2" formatCode="0.0">
                  <c:v>40.299999999999997</c:v>
                </c:pt>
                <c:pt idx="3" formatCode="0.0">
                  <c:v>43.3</c:v>
                </c:pt>
                <c:pt idx="4" formatCode="0.0">
                  <c:v>46.6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2"/>
              <c:layout>
                <c:manualLayout>
                  <c:x val="3.7034740736148138E-5"/>
                  <c:y val="-5.48502126889311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37931034482758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7029922468692396E-17"/>
                  <c:y val="-9.19540229885057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9.19540229885057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605042016806723E-2"/>
                  <c:y val="-2.29885057471264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Лист1!$B$4:$F$4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2"/>
        <c:axId val="141197696"/>
        <c:axId val="141199232"/>
      </c:barChart>
      <c:catAx>
        <c:axId val="14119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199232"/>
        <c:crosses val="autoZero"/>
        <c:auto val="1"/>
        <c:lblAlgn val="ctr"/>
        <c:lblOffset val="100"/>
        <c:noMultiLvlLbl val="0"/>
      </c:catAx>
      <c:valAx>
        <c:axId val="141199232"/>
        <c:scaling>
          <c:orientation val="minMax"/>
          <c:max val="50"/>
          <c:min val="20"/>
        </c:scaling>
        <c:delete val="0"/>
        <c:axPos val="l"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197696"/>
        <c:crosses val="autoZero"/>
        <c:crossBetween val="between"/>
        <c:majorUnit val="5"/>
        <c:minorUnit val="1"/>
      </c:valAx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9821658028477172"/>
          <c:y val="0.90105326779996631"/>
          <c:w val="0.43825418500922714"/>
          <c:h val="7.5092428328491612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outerShdw blurRad="50800" dist="50800" dir="5400000" algn="ctr" rotWithShape="0">
        <a:schemeClr val="bg1"/>
      </a:outerShdw>
    </a:effectLst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0980757582817"/>
          <c:y val="0.2268195823348168"/>
          <c:w val="0.77715632877083496"/>
          <c:h val="0.454257427690370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консервативный</c:v>
                </c:pt>
              </c:strCache>
            </c:strRef>
          </c:tx>
          <c:spPr>
            <a:ln w="25405">
              <a:solidFill>
                <a:srgbClr val="00008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000000000000019E-2"/>
                  <c:y val="-6.8610622292941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114173228346458E-2"/>
                  <c:y val="-6.5274093133247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626312335958004E-2"/>
                  <c:y val="5.6193720381280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977362204724335E-2"/>
                  <c:y val="5.389985658399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161909448818899E-2"/>
                  <c:y val="6.0754435919839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427167930175731E-3"/>
                  <c:y val="3.3349924340741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104.7</c:v>
                </c:pt>
                <c:pt idx="1">
                  <c:v>94.5</c:v>
                </c:pt>
                <c:pt idx="2">
                  <c:v>97.1</c:v>
                </c:pt>
                <c:pt idx="3">
                  <c:v>102.5</c:v>
                </c:pt>
                <c:pt idx="4">
                  <c:v>102.7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базовый</c:v>
                </c:pt>
              </c:strCache>
            </c:strRef>
          </c:tx>
          <c:spPr>
            <a:ln w="25405">
              <a:solidFill>
                <a:srgbClr val="FF00FF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3.888205380577428E-2"/>
                  <c:y val="-6.2980589496704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44028871391E-2"/>
                  <c:y val="-6.070041180779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596128608923887E-2"/>
                  <c:y val="-5.1617517930602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116413686305803E-3"/>
                  <c:y val="-5.8393365944860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104.7</c:v>
                </c:pt>
                <c:pt idx="1">
                  <c:v>94.5</c:v>
                </c:pt>
                <c:pt idx="2">
                  <c:v>103</c:v>
                </c:pt>
                <c:pt idx="3">
                  <c:v>103.2</c:v>
                </c:pt>
                <c:pt idx="4">
                  <c:v>102.9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3.7499999999999999E-2"/>
                  <c:y val="-7.3184663779137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000000000000079E-2"/>
                  <c:y val="-6.8610622292941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666666666666664E-2"/>
                  <c:y val="-8.2332746751530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1660928"/>
        <c:axId val="141662848"/>
      </c:lineChart>
      <c:catAx>
        <c:axId val="1416609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45086073708242097"/>
              <c:y val="0.75722049045928774"/>
            </c:manualLayout>
          </c:layout>
          <c:overlay val="0"/>
          <c:spPr>
            <a:noFill/>
            <a:ln w="2540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662848"/>
        <c:crossesAt val="90"/>
        <c:auto val="1"/>
        <c:lblAlgn val="ctr"/>
        <c:lblOffset val="100"/>
        <c:noMultiLvlLbl val="0"/>
      </c:catAx>
      <c:valAx>
        <c:axId val="141662848"/>
        <c:scaling>
          <c:orientation val="minMax"/>
          <c:max val="106"/>
          <c:min val="92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проценты</a:t>
                </a:r>
              </a:p>
            </c:rich>
          </c:tx>
          <c:layout>
            <c:manualLayout>
              <c:xMode val="edge"/>
              <c:yMode val="edge"/>
              <c:x val="1.5086427805991707E-2"/>
              <c:y val="0.38954656530002713"/>
            </c:manualLayout>
          </c:layout>
          <c:overlay val="0"/>
          <c:spPr>
            <a:noFill/>
            <a:ln w="2540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660928"/>
        <c:crossesAt val="1"/>
        <c:crossBetween val="between"/>
        <c:majorUnit val="2"/>
        <c:minorUnit val="2"/>
      </c:valAx>
      <c:spPr>
        <a:ln w="25405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6551534423581671"/>
          <c:y val="0.85430988163598909"/>
          <c:w val="0.50130019685039373"/>
          <c:h val="7.3587323494221937E-2"/>
        </c:manualLayout>
      </c:layout>
      <c:overlay val="0"/>
      <c:spPr>
        <a:noFill/>
        <a:ln w="3176">
          <a:solidFill>
            <a:schemeClr val="bg1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236930472457945E-2"/>
          <c:y val="0.22676493182254656"/>
          <c:w val="0.77715632877083496"/>
          <c:h val="0.454257427690370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консервативный</c:v>
                </c:pt>
              </c:strCache>
            </c:strRef>
          </c:tx>
          <c:spPr>
            <a:ln w="25405">
              <a:solidFill>
                <a:srgbClr val="00008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000000000000019E-2"/>
                  <c:y val="-6.8610622292941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98701518615196E-2"/>
                  <c:y val="-5.3078868190256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35647816750179E-2"/>
                  <c:y val="-5.7627552653479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427044126815385E-2"/>
                  <c:y val="6.6095000320081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161909448818899E-2"/>
                  <c:y val="6.07544359198397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427167930175731E-3"/>
                  <c:y val="3.3349924340741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100.3</c:v>
                </c:pt>
                <c:pt idx="1">
                  <c:v>91.5</c:v>
                </c:pt>
                <c:pt idx="2">
                  <c:v>97.3</c:v>
                </c:pt>
                <c:pt idx="3">
                  <c:v>101</c:v>
                </c:pt>
                <c:pt idx="4">
                  <c:v>101.9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базовый</c:v>
                </c:pt>
              </c:strCache>
            </c:strRef>
          </c:tx>
          <c:spPr>
            <a:ln w="25405">
              <a:solidFill>
                <a:srgbClr val="FF00FF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3.888205380577428E-2"/>
                  <c:y val="-6.2980589496704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44028871391E-2"/>
                  <c:y val="-6.070041180779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596128608923887E-2"/>
                  <c:y val="-5.1617517930602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116413686305803E-3"/>
                  <c:y val="-5.8393365944860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5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100.3</c:v>
                </c:pt>
                <c:pt idx="1">
                  <c:v>91.5</c:v>
                </c:pt>
                <c:pt idx="2">
                  <c:v>102.5</c:v>
                </c:pt>
                <c:pt idx="3">
                  <c:v>102.3</c:v>
                </c:pt>
                <c:pt idx="4">
                  <c:v>102.5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3.7499999999999999E-2"/>
                  <c:y val="-7.3184663779137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000000000000079E-2"/>
                  <c:y val="-6.8610622292941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666666666666664E-2"/>
                  <c:y val="-8.2332746751530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8379520"/>
        <c:axId val="148418560"/>
      </c:lineChart>
      <c:catAx>
        <c:axId val="148379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45086073708242097"/>
              <c:y val="0.75722049045928774"/>
            </c:manualLayout>
          </c:layout>
          <c:overlay val="0"/>
          <c:spPr>
            <a:noFill/>
            <a:ln w="2540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418560"/>
        <c:crossesAt val="90"/>
        <c:auto val="1"/>
        <c:lblAlgn val="ctr"/>
        <c:lblOffset val="100"/>
        <c:noMultiLvlLbl val="0"/>
      </c:catAx>
      <c:valAx>
        <c:axId val="148418560"/>
        <c:scaling>
          <c:orientation val="minMax"/>
          <c:max val="103"/>
          <c:min val="90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проценты</a:t>
                </a:r>
              </a:p>
            </c:rich>
          </c:tx>
          <c:layout>
            <c:manualLayout>
              <c:xMode val="edge"/>
              <c:yMode val="edge"/>
              <c:x val="1.5086427805991707E-2"/>
              <c:y val="0.38954656530002713"/>
            </c:manualLayout>
          </c:layout>
          <c:overlay val="0"/>
          <c:spPr>
            <a:noFill/>
            <a:ln w="2540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8379520"/>
        <c:crosses val="autoZero"/>
        <c:crossBetween val="between"/>
        <c:majorUnit val="2"/>
        <c:minorUnit val="2"/>
      </c:valAx>
      <c:spPr>
        <a:ln w="25405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583169772400148"/>
          <c:y val="0.86395173164330064"/>
          <c:w val="0.50130019685039373"/>
          <c:h val="7.3587323494221937E-2"/>
        </c:manualLayout>
      </c:layout>
      <c:overlay val="0"/>
      <c:spPr>
        <a:noFill/>
        <a:ln w="3176">
          <a:solidFill>
            <a:schemeClr val="bg1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797946979006626E-2"/>
          <c:y val="6.2350102687831546E-2"/>
          <c:w val="0.89373445749279168"/>
          <c:h val="0.60396547259829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вариант 1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2.3234842604066023E-3"/>
                  <c:y val="2.0451774875880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4115508059045603E-3"/>
                  <c:y val="1.022572506642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235332472056501E-3"/>
                  <c:y val="9.1744187965406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237041580734105E-3"/>
                  <c:y val="1.4287766697374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704527812198928E-3"/>
                  <c:y val="1.533882498159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469685208132896E-3"/>
                  <c:y val="1.533882498159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9704527812199778E-3"/>
                  <c:y val="1.533882498159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2" formatCode="0.0">
                  <c:v>212.4</c:v>
                </c:pt>
                <c:pt idx="3" formatCode="0.0">
                  <c:v>207.3</c:v>
                </c:pt>
                <c:pt idx="4" formatCode="0.0">
                  <c:v>212.9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rgbClr val="FF8080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9999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FF9999"/>
              </a:solidFill>
              <a:ln w="1266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"/>
                  <c:y val="2.4656675212372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70568020559894E-3"/>
                  <c:y val="1.8492506409279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0225887437940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469685208131196E-3"/>
                  <c:y val="1.0225887437940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235464441422804E-3"/>
                  <c:y val="3.5490851789315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234842604067728E-3"/>
                  <c:y val="1.533882498159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3234842604066023E-3"/>
                  <c:y val="1.5338824981591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1617421302033012E-2"/>
                  <c:y val="5.11294166053045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24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195.6</c:v>
                </c:pt>
                <c:pt idx="1">
                  <c:v>205.2</c:v>
                </c:pt>
                <c:pt idx="2">
                  <c:v>217.1</c:v>
                </c:pt>
                <c:pt idx="3">
                  <c:v>229.7</c:v>
                </c:pt>
                <c:pt idx="4">
                  <c:v>243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48590592"/>
        <c:axId val="148592128"/>
      </c:barChart>
      <c:catAx>
        <c:axId val="14859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4859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592128"/>
        <c:scaling>
          <c:orientation val="minMax"/>
          <c:max val="25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48590592"/>
        <c:crosses val="autoZero"/>
        <c:crossBetween val="between"/>
        <c:majorUnit val="50"/>
        <c:minorUnit val="50"/>
      </c:valAx>
      <c:spPr>
        <a:noFill/>
        <a:ln w="25324">
          <a:noFill/>
        </a:ln>
      </c:spPr>
    </c:plotArea>
    <c:legend>
      <c:legendPos val="b"/>
      <c:layout>
        <c:manualLayout>
          <c:xMode val="edge"/>
          <c:yMode val="edge"/>
          <c:x val="0.27643995397028509"/>
          <c:y val="0.84518059469202622"/>
          <c:w val="0.44083513951000025"/>
          <c:h val="9.1264971188946206E-2"/>
        </c:manualLayout>
      </c:layout>
      <c:overlay val="0"/>
      <c:spPr>
        <a:noFill/>
        <a:ln w="3165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43505619489871E-2"/>
          <c:y val="6.7938271201576986E-2"/>
          <c:w val="0.88727353792314423"/>
          <c:h val="0.608538351793162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вариант 1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-7.4089777239383535E-3"/>
                  <c:y val="6.7706197928771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9908751466548833E-3"/>
                  <c:y val="1.229809021310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954375733274009E-3"/>
                  <c:y val="1.229809021310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238593933318584E-2"/>
                  <c:y val="-3.757706377994062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9908751466549666E-3"/>
                  <c:y val="1.229809021310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1238593933318502E-2"/>
                  <c:y val="4.0993634043695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2" formatCode="0.0">
                  <c:v>316</c:v>
                </c:pt>
                <c:pt idx="3">
                  <c:v>325.5</c:v>
                </c:pt>
                <c:pt idx="4" formatCode="0.0">
                  <c:v>330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вариант 2</c:v>
                </c:pt>
              </c:strCache>
            </c:strRef>
          </c:tx>
          <c:spPr>
            <a:solidFill>
              <a:srgbClr val="0000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2"/>
              <c:layout>
                <c:manualLayout>
                  <c:x val="4.1624604616730598E-3"/>
                  <c:y val="-9.81208875100431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36752136752137E-3"/>
                  <c:y val="-1.3911630267403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824819974426272E-7"/>
                  <c:y val="-8.3840607527766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48327612894542E-3"/>
                  <c:y val="-8.38406075277662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586715122148193E-3"/>
                  <c:y val="-4.28451923637715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517701774559195E-3"/>
                  <c:y val="4.09659886048405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2019</c:v>
                </c:pt>
                <c:pt idx="1">
                  <c:v>2020 (оценка)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305.39999999999998</c:v>
                </c:pt>
                <c:pt idx="1">
                  <c:v>301.5</c:v>
                </c:pt>
                <c:pt idx="2">
                  <c:v>321.10000000000002</c:v>
                </c:pt>
                <c:pt idx="3">
                  <c:v>342</c:v>
                </c:pt>
                <c:pt idx="4">
                  <c:v>368.6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49777792"/>
        <c:axId val="149906560"/>
      </c:barChart>
      <c:catAx>
        <c:axId val="14977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49906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906560"/>
        <c:scaling>
          <c:orientation val="minMax"/>
          <c:max val="4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49777792"/>
        <c:crosses val="autoZero"/>
        <c:crossBetween val="between"/>
        <c:majorUnit val="50"/>
        <c:minorUnit val="50"/>
      </c:valAx>
      <c:spPr>
        <a:noFill/>
        <a:ln w="25360">
          <a:noFill/>
        </a:ln>
      </c:spPr>
    </c:plotArea>
    <c:legend>
      <c:legendPos val="b"/>
      <c:layout>
        <c:manualLayout>
          <c:xMode val="edge"/>
          <c:yMode val="edge"/>
          <c:x val="0.2829767691857194"/>
          <c:y val="0.87824731515547461"/>
          <c:w val="0.42710307923145358"/>
          <c:h val="7.3353846153846158E-2"/>
        </c:manualLayout>
      </c:layout>
      <c:overlay val="0"/>
      <c:spPr>
        <a:noFill/>
        <a:ln w="3170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0AFD5-2976-46C5-B1A7-A12A5983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5841</Words>
  <Characters>41058</Characters>
  <Application>Microsoft Office Word</Application>
  <DocSecurity>0</DocSecurity>
  <Lines>342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</vt:lpstr>
    </vt:vector>
  </TitlesOfParts>
  <Company>GKSI</Company>
  <LinksUpToDate>false</LinksUpToDate>
  <CharactersWithSpaces>46806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</dc:title>
  <dc:creator>Администратор</dc:creator>
  <cp:lastModifiedBy>economy14 (Митрофанова Е.В.)</cp:lastModifiedBy>
  <cp:revision>4</cp:revision>
  <cp:lastPrinted>2019-11-08T07:02:00Z</cp:lastPrinted>
  <dcterms:created xsi:type="dcterms:W3CDTF">2020-07-15T13:08:00Z</dcterms:created>
  <dcterms:modified xsi:type="dcterms:W3CDTF">2020-07-20T15:57:00Z</dcterms:modified>
</cp:coreProperties>
</file>